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333-253208</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5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12"/>
                <w:szCs w:val="12"/>
                <w:b w:val="1"/>
                <w:bCs w:val="1"/>
                <w:color w:val="auto"/>
              </w:rPr>
              <w:t>(1)(2)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12,500,000 shares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$35.81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$447,625,000</w:t>
            </w:r>
          </w:p>
        </w:tc>
        <w:tc>
          <w:tcPr>
            <w:tcW w:w="15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8"/>
                <w:szCs w:val="18"/>
                <w:color w:val="auto"/>
              </w:rPr>
              <w:t>$48,835.89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360" w:hanging="424"/>
        <w:spacing w:after="0" w:line="255"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common stock on February 12, 2021 as reported on the New York Stock Exchange.</w:t>
      </w:r>
    </w:p>
    <w:p>
      <w:pPr>
        <w:spacing w:after="0" w:line="1"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was calculated and the fee was previously paid in connection with the filing with the U.S. Securities and Exchange Commission of the Registration Statement on Form S-8 of Aramark (File No. 333-253211) on February 17, 2021.</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160020</wp:posOffset>
            </wp:positionV>
            <wp:extent cx="161163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Aramark</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12,500,000 Shares of Common Stock</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updates, amends and supplements our prospectus dated February 17, 2021.</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up to 12,500,000 shares of our common stock, par value $0.01 per share, that may be delivered from time to time under our 2021 Employee Stock Purchase Plan (the “ESPP”) to the ESPP’s administrator or Cashless Participation Provider (as defined herein) pursuant to the ESPP’s Cashless Participation program. The shares of common stock registered pursuant to this prospectus supplement are the same shares as those registered under our Registration Statement on Form S-8 that we filed with the Securities and Exchange Commission (the “SEC”) on February 17, 2021 The Form S-8 registers the offer and sale of the shares to our employee participants pursuant to the ESPP, while this prospectus supplement (and the related prospectus and Registration Statement on Form S-3 registration statement of which it is a part) register the delivery of shares pursuant to the ESPP’s Cashless Participation program.</w:t>
      </w:r>
    </w:p>
    <w:p>
      <w:pPr>
        <w:spacing w:after="0" w:line="18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will not receive any proceeds from the delivery of shares of common stock to the ESPP plan administrator or Cashless Participation Provider separate from amounts received by us from purchases made by plan participants under the ESPP.</w:t>
      </w:r>
    </w:p>
    <w:p>
      <w:pPr>
        <w:spacing w:after="0" w:line="15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“ARMK.” The last reported sale price of our common stock on February 16, 2021, was $36.97 per share.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Any statement contained in the prospectus shall be deemed to be modified or superseded to the extent this prospectus supplement modifies or supersedes such statement. This prospectus supplement is not complete without, and may not be delivered or used except in connection with, the prospectus, including all amendments and supplements thereto.</w:t>
      </w:r>
    </w:p>
    <w:p>
      <w:pPr>
        <w:spacing w:after="0" w:line="172" w:lineRule="exact"/>
        <w:rPr>
          <w:sz w:val="20"/>
          <w:szCs w:val="20"/>
          <w:color w:val="auto"/>
        </w:rPr>
      </w:pPr>
    </w:p>
    <w:p>
      <w:pPr>
        <w:jc w:val="both"/>
        <w:ind w:left="120" w:firstLine="440"/>
        <w:spacing w:after="0" w:line="291" w:lineRule="auto"/>
        <w:rPr>
          <w:rFonts w:ascii="Times New Roman" w:cs="Times New Roman" w:eastAsia="Times New Roman" w:hAnsi="Times New Roman"/>
          <w:sz w:val="17"/>
          <w:szCs w:val="17"/>
          <w:b w:val="1"/>
          <w:bCs w:val="1"/>
          <w:color w:val="0000EE"/>
        </w:rPr>
      </w:pPr>
      <w:hyperlink w:anchor="page15">
        <w:r>
          <w:rPr>
            <w:rFonts w:ascii="Times New Roman" w:cs="Times New Roman" w:eastAsia="Times New Roman" w:hAnsi="Times New Roman"/>
            <w:sz w:val="17"/>
            <w:szCs w:val="17"/>
            <w:b w:val="1"/>
            <w:bCs w:val="1"/>
            <w:color w:val="auto"/>
          </w:rPr>
          <w:t>In reviewing this prospectus supplement and the prospectus, you should carefully consider the matters described under the caption “</w:t>
        </w:r>
        <w:r>
          <w:rPr>
            <w:rFonts w:ascii="Times New Roman" w:cs="Times New Roman" w:eastAsia="Times New Roman" w:hAnsi="Times New Roman"/>
            <w:sz w:val="17"/>
            <w:szCs w:val="17"/>
            <w:b w:val="1"/>
            <w:bCs w:val="1"/>
            <w:u w:val="single" w:color="auto"/>
            <w:color w:val="0000EE"/>
          </w:rPr>
          <w:t>Risk</w:t>
        </w:r>
      </w:hyperlink>
      <w:r>
        <w:rPr>
          <w:rFonts w:ascii="Times New Roman" w:cs="Times New Roman" w:eastAsia="Times New Roman" w:hAnsi="Times New Roman"/>
          <w:sz w:val="17"/>
          <w:szCs w:val="17"/>
          <w:b w:val="1"/>
          <w:bCs w:val="1"/>
          <w:color w:val="auto"/>
        </w:rPr>
        <w:t xml:space="preserve"> </w:t>
      </w:r>
      <w:hyperlink w:anchor="page15">
        <w:r>
          <w:rPr>
            <w:rFonts w:ascii="Times New Roman" w:cs="Times New Roman" w:eastAsia="Times New Roman" w:hAnsi="Times New Roman"/>
            <w:sz w:val="17"/>
            <w:szCs w:val="17"/>
            <w:b w:val="1"/>
            <w:bCs w:val="1"/>
            <w:u w:val="single" w:color="auto"/>
            <w:color w:val="0000EE"/>
          </w:rPr>
          <w:t>Factors</w:t>
        </w:r>
        <w:r>
          <w:rPr>
            <w:rFonts w:ascii="Times New Roman" w:cs="Times New Roman" w:eastAsia="Times New Roman" w:hAnsi="Times New Roman"/>
            <w:sz w:val="17"/>
            <w:szCs w:val="17"/>
            <w:b w:val="1"/>
            <w:bCs w:val="1"/>
            <w:color w:val="000000"/>
          </w:rPr>
          <w:t>” beginning on page 6 of the prospectus, and in the “Risk Factors” section of our periodic reports filed with the Securities and Exchange</w:t>
        </w:r>
      </w:hyperlink>
      <w:r>
        <w:rPr>
          <w:rFonts w:ascii="Times New Roman" w:cs="Times New Roman" w:eastAsia="Times New Roman" w:hAnsi="Times New Roman"/>
          <w:sz w:val="17"/>
          <w:szCs w:val="17"/>
          <w:b w:val="1"/>
          <w:bCs w:val="1"/>
          <w:color w:val="0000EE"/>
        </w:rPr>
        <w:t xml:space="preserve"> </w:t>
      </w:r>
      <w:r>
        <w:rPr>
          <w:rFonts w:ascii="Times New Roman" w:cs="Times New Roman" w:eastAsia="Times New Roman" w:hAnsi="Times New Roman"/>
          <w:sz w:val="17"/>
          <w:szCs w:val="17"/>
          <w:b w:val="1"/>
          <w:bCs w:val="1"/>
          <w:color w:val="000000"/>
        </w:rPr>
        <w:t>Commission incorporated by reference into this prospectus supplement and the prospectus. See “Where You Can Find More Information”.</w:t>
      </w:r>
    </w:p>
    <w:p>
      <w:pPr>
        <w:spacing w:after="0" w:line="15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other regulatory body has approved or disapproved these securities or passed upon the accuracy or adequacy of this prospectus supplement or the prospectus. Any representation to the contrary is a criminal offense.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date of this prospectus supplement is February 17, 2021.</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 Supplement</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Background and Purpose of the Sales Covered by this Prospectus Supplement and Related Transactions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Plan of Distribution</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Use of Proceeds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Arrangements with the Cashless Participation Provider</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Legal Matters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Experts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Where You Can Find More Information</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648"/>
        </w:trPr>
        <w:tc>
          <w:tcPr>
            <w:tcW w:w="906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900" w:type="dxa"/>
            <w:vAlign w:val="bottom"/>
          </w:tcPr>
          <w:p>
            <w:pPr>
              <w:spacing w:after="0"/>
              <w:rPr>
                <w:sz w:val="24"/>
                <w:szCs w:val="24"/>
                <w:color w:val="auto"/>
              </w:rPr>
            </w:pPr>
          </w:p>
        </w:tc>
      </w:tr>
      <w:tr>
        <w:trPr>
          <w:trHeight w:val="408"/>
        </w:trPr>
        <w:tc>
          <w:tcPr>
            <w:tcW w:w="90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About This Prospectus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Statements Regarding Forward-Looking Information</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Our Company</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Risk Factors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Use of Proceeds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Description of Capital Stock</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Selling Stockholders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Plan of Distribution</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Legal Matters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Experts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Incorporation by Reference</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906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Where You Can Find More Information</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5"/>
        </w:trPr>
        <w:tc>
          <w:tcPr>
            <w:tcW w:w="9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S-i</w:t>
            </w:r>
          </w:p>
        </w:tc>
        <w:tc>
          <w:tcPr>
            <w:tcW w:w="19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document has two parts, a prospectus supplement and an accompanying prospectus, dated February 17, 2021. This prospectus supplement and the prospectus are part of an automatic shelf registration statement that we filed with the Securities and Exchange Commission (the “SEC”) as a “well-known seasoned issuer” as defined in Rule 405 under the Securities Act of 1933, as amended (the “Securities Act”), utilizing a “shelf” registration process. This prospectus supplement, which describes certain matters relating to us and the specific terms of this offering of shares of our common stock, adds to and updates information contained in the prospectus and the documents incorporated by reference herein. To the extent there is a conflict between the information contained in this prospectus supplement, on the one hand, and the information contained in the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prospectus after the date of this prospectus supplement) the statement in the document having the later date modifies or supersedes the earlier statement.</w:t>
      </w:r>
    </w:p>
    <w:p>
      <w:pPr>
        <w:spacing w:after="0" w:line="194"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You should read both this prospectus supplement together with information incorporated and deemed to be incorporated by reference herein and therein, and the additional information described under “Where You Can Find More Information” before making an investment in our common stock.</w:t>
      </w:r>
    </w:p>
    <w:p>
      <w:pPr>
        <w:spacing w:after="0" w:line="14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expressly stated or the context otherwise requires, references in this prospectus supplement to “Aramark,” “we,” “us” and “our” refer to Aramark, a Delaware corporation, and its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00"/>
          </w:cols>
          <w:pgMar w:left="32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BACKGROUND AND PURPOSE OF THE SALES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COVERED BY THIS PROSPECTUS SUPPLEMENT AND RELATED TRANSACTIONS</w:t>
      </w:r>
    </w:p>
    <w:p>
      <w:pPr>
        <w:spacing w:after="0" w:line="20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offer employee participants in our ESPP (other than our executive officers) the ability to participate in a loan program known as “Cashless Participation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 “Program”), that is intended to enable participants to increase their participation in our ESPP by borrowing money (a “Loan”) from a third party on a purchase date that occurs at the end of each three-month offering period under the ESPP (each, a “Purchase Date”) and using the Loan, together with the payroll contribution made by such participant made pursuant to our ESPP, to purchase shares of our common stock from us at a discount to market price as provided pursuant to the terms of the ESPP. To participate in the Program, participants will open a brokerage account with a clearing broker introduced by Carver Edison Capital, a division of First Liberties Securities, Inc. (the “Cashless Participation Provider”) and the Loans will be extended to and repaid from such brokerage account. “Cashless Participation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is a trademark of Carver Edison, Inc.</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for Program participants to repay their Loans, a portion of the shares purchased by each Program participant under the ESPP (having a fair market value equal to the Loan repayment amount, except as noted below) will be delivered to the Cashless Participation brokerage account and sold. Pursuant to the terms of the Program documents, Program participants grant Aramark or an assignee the right (the “Repurchase Right”) to acquire shares of common stock on the Purchase Date at a price per share equal to the “Designated Sale Price” described in the Program documents. The amount of shares subject to the Repurchase Right will be the Loan repayment amount divided by the Designated Sale Price. As consideration to the Cashless Participation Provider for operating the Program, we will revocably assign the Repurchase Right to the Cashless Participation Provider (and agree that if we exercise the Repurchase Right and acquire shares of common stock, we will sell those shares to the Cashless Participation Provider for the price we paid). The Cashless Participation Provider will sell a portion of the shares it acquires related to an exercise of the Repurchase Right and proceeds will be used to repay the Loan. Any balance of shares acquired by the Cashless Participation Provider may be held or disposed of, including by sales covered by this prospectus supplement.</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shares to be offered under this prospectus supplement relate to the ESPP’s Cashless Participation Program, pursuant to which certain of the shares authorized and issued pursuant to the ESPP may be delivered from time to time to the ESPP’s plan administrator, the Cashless Participation Provider or the Cashless Participation brokerage account. Such delivery may utilize any of the methods described in the prospectus under the heading “Plan of Distribution” in the accompanying prospectus.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Cashless Participation Provider intends to offer the shares of common stock received by it from time to time from us pursuant to the Program to the public from time to time for sale in transactions, including in the over-the-counter market or otherwise at market prices prevailing at the time of sale, at prices related to such market prices or at prices otherwise negotiated, or any other method that is deemed to be an “at the market offering” as defined in Rule 415(a)(4) under the Securities Act. In connection with the sale of the shares of common stock pursuant to this prospectus supplement, the Cashless Participation Provider and/or its clearing broker may receive brokerage commissions from time to time. The Cashless Participation Provider and/or its clearing broker may effect these transactions by selling shares to or through dealers, and these dealers may receive compensation in the form of discounts, concessions or commissions from the Cashless Participation Provider and/or its clearing broker and/or from purchasers of shares for whom the dealers may act as agents or to whom they may sell as principal.</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Cashless Participation Provider may sell under this prospectus supplement shares of our common stock or enter into other transactions such as swaps, options, and futures contracts in order to hedge its economic risk related to the Program. Sales under this prospectus supplement may involve “short sales” of our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which means that the Cashless Participation Provider may not own the shares at the time of sale or settlement. The Cashless Participation Provider may borrow such shares from securities lenders for delivery pursuant to this prospectus supplement, and would pay customary fees to the lenders for this service. The Cashless Participation Provider may use shares of common stock that it receives in connection with the Program to return shares to such securities lenders. The Cashless Participation Provider will make its own determinations as to whether, when or in what manner any hedging or market activities in our securities will be conducted.</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Cashless Participation Provider may be deemed to be an underwriter under Section 2(a)(11) of the Securities Act in connection with sales of shares of our common stock pursuant to this prospectus supplement. The right to acquire shares from Program participants to repay their Loans and our assignment to the Cashless Participation Provider of the Repurchase Rights we obtain from Program participants, may be deemed to constitute underwriting discounts and commissions, as that term is defined in the rules promulgated under the Securities Act. In addition, any profit that the Cashless Participation Provider realizes on the sale of the shares that it may acquire in connection with the Program may be deemed to constitute underwriting discounts and commissions.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net proceeds from the delivery of the shares of common stock to the ESPP plan administrator or the Cashless Participation Provider separate from amounts received by us from purchases made by plan participants under the ESPP.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ARRANGEMENTS WITH THE CASHLESS PARTICIPATION PROVIDER</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enter into a program agreement with the Cashless Participation Provider which will establish certain terms related to the Program, including mutual indemnification obligations. We have taken certain steps in order to enable the Cashless Participation Provider to make sales of up to 12,500,000 shares of our Common Stock under this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Simpson Thacher &amp; Bartlett LLP, New York, New York.</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financial statement schedule of Aramark and subsidiaries as of October 2, 2020 and September 27, 2019 and for each of the fiscal years in the three-year period ended October 2, 2020 have been incorporated in this prospectus supplement in reliance upon the report of KPMG LLP,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to be sold pursuant to this prospectus supplement and the accompanying prospectus. The registration statement, including the exhibits attached or incorporated by reference to the registration statement, contains additional relevant information about us and our securities. The rules and regulations of the SEC allow us to omit certain information from this prospectus supplement and the accompanying prospectus.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supplement. By incorporating by reference, we can disclose important information to you by referring you to another document we have filed separately with the SEC. The information incorporated by reference is considered to be part of this prospectus supplement and information that we file in the future with the SEC will automatically update and supersede, as appropriate, this information. We incorporate by reference the documents listed below and all documents that we file with the SEC under Sections 13(a), 13(c), 14 or 15(d) of the Securities Exchange Act of 1934, as amended, after the date of this prospectus supplement, from their respective filing dates:</w:t>
      </w:r>
    </w:p>
    <w:p>
      <w:pPr>
        <w:spacing w:after="0" w:line="93"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October 2, 2020 that we filed with the SEC on November 24,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January 1, 2021 that we filed with the SEC on February 9, 2021;</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November 19,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4,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16, 2020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February 5,</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we filed with the SEC on December 5, 2013, including any amendments or supplements thereto.</w:t>
      </w:r>
    </w:p>
    <w:p>
      <w:pPr>
        <w:spacing w:after="0" w:line="225" w:lineRule="exact"/>
        <w:rPr>
          <w:rFonts w:ascii="Times New Roman" w:cs="Times New Roman" w:eastAsia="Times New Roman" w:hAnsi="Times New Roman"/>
          <w:sz w:val="18"/>
          <w:szCs w:val="18"/>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we are not incorporating by reference information furnished under Items 2.02 and 7.01 of any Current Report on Form 8-K (including any Form 8-K itemized above), including the related exhibits, nor in any documents or other information that is deemed to have been “furnished” to and not “filed” with the SEC.</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shall be deemed to be modified or superseded for purposes of this prospectus supplement to the extent that a statement contained herein or in any other subsequently filed document that also is incorporated by reference in this prospectus supplement modifies or supersedes such statement. Any statement so modified or superseded shall not be deemed, except as so modified or superseded, to constitute a part of this prospectus supplement.</w:t>
      </w:r>
    </w:p>
    <w:p>
      <w:pPr>
        <w:spacing w:after="0" w:line="180" w:lineRule="exact"/>
        <w:rPr>
          <w:rFonts w:ascii="Times New Roman" w:cs="Times New Roman" w:eastAsia="Times New Roman" w:hAnsi="Times New Roman"/>
          <w:sz w:val="18"/>
          <w:szCs w:val="18"/>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any or all of the documents referred to above that have been or may be incorporated by reference into this prospectus supplement (excluding certain exhibits to the documents) at no cost, by writing or calling us at the following address or telephone number:</w:t>
      </w:r>
    </w:p>
    <w:p>
      <w:pPr>
        <w:spacing w:after="0" w:line="162"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Aramark</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2400 Market Street</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(215) 409-7287</w:t>
      </w:r>
    </w:p>
    <w:p>
      <w:pPr>
        <w:spacing w:after="0" w:line="207" w:lineRule="exact"/>
        <w:rPr>
          <w:rFonts w:ascii="Times New Roman" w:cs="Times New Roman" w:eastAsia="Times New Roman" w:hAnsi="Times New Roman"/>
          <w:sz w:val="18"/>
          <w:szCs w:val="18"/>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We have not authorized anyone else to provide you with different information.</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080"/>
          </w:cols>
          <w:pgMar w:left="320" w:top="455"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19685</wp:posOffset>
            </wp:positionV>
            <wp:extent cx="161163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Aramark and/or one or more selling stockholders may offer and sell shares of our common stock from time to time in amounts, at prices and on terms that will be determined at the time of any such offering.</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common stock may be sold on a continuous or delayed basis directly to or through agents, dealers or underwriters as designated from time to time, or through a combination of these methods. We and/or the applicable selling stockholders reserve the sole right to accept, and we and/or the applicable selling stockholders and any agents, dealers and underwriters reserve the right to reject, in whole or in part, any proposed purchase of our common stock. If any agents, dealers or underwriters are involved in the sale of any shares of our common stock, the applicable prospectus supplement will set forth any applicable commissions or discounts payable to them. The net proceeds from the sale of our common stock also will be set forth in the applicable prospectus supplement. We also may provide investors with a free writing prospectus that includes this information.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time that we or any selling stockholders offer shares of our common stock using this prospectus, we will provide a prospectus supplement and attach it to this prospectus. The prospectus supplement or a free writing prospectus will contain more specific information about the offering and the shares of our common stock being offered, including the specific amounts, names of the selling stockholders and the prices at which the shares of our common stock are sold. The prospectus supplement or free writing prospectus may also add, update or change information contained in this prospectus. This prospectus may not be used to sell shares of our common stock unless accompanied by a prospectus supplement describing the method and terms of the offering.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symbol “ARMK.”</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and free writing prospectus, together with any documents we incorporate by reference,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5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securities involves risks. You should refer to and consider the information included in the section titled “</w:t>
      </w:r>
      <w:hyperlink w:anchor="page15">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6 of this prospectus and the risk factors described in any accompanying prospectus supplement or any documents we incorporate by reference.</w:t>
      </w:r>
    </w:p>
    <w:p>
      <w:pPr>
        <w:spacing w:after="0" w:line="17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17, 2021</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68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18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About This Prospectus</w:t>
              </w:r>
            </w:hyperlink>
          </w:p>
        </w:tc>
        <w:tc>
          <w:tcPr>
            <w:tcW w:w="64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180" w:type="dxa"/>
            <w:vAlign w:val="bottom"/>
            <w:vMerge w:val="continue"/>
          </w:tcPr>
          <w:p>
            <w:pPr>
              <w:spacing w:after="0"/>
              <w:rPr>
                <w:sz w:val="16"/>
                <w:szCs w:val="16"/>
                <w:color w:val="auto"/>
              </w:rPr>
            </w:pPr>
          </w:p>
        </w:tc>
        <w:tc>
          <w:tcPr>
            <w:tcW w:w="648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Statements Regarding Forward-Looking Information</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Our Company</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Risk Factors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Use of Proceeds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Description of Capital Stock</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Selling Stockholders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Plan of Distribution</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Legal Matters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Experts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Incorporation by Reference</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418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Where You Can Find More Information</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in any accompanying prospectus supplement or in any free writing prospectuses related hereto that we have prepared. We have not authorized anyone to provide you with different information and we take no responsibility for, and can provide no assurance as to the reliability of, any other information that others may give you. You should not assume that the information contained or incorporated by reference in this prospectus and any accompanying prospectus supplement or free writing prospectus is accurate as of any date other than the respective dates thereof. This prospectus and any accompanying prospectus supplement do not constitute an offer to sell or the solicitation of an offer to buy any securities other than the registered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ectPr>
          <w:pgSz w:w="11900" w:h="16838" w:orient="portrait"/>
          <w:cols w:equalWidth="0" w:num="1">
            <w:col w:w="11080"/>
          </w:cols>
          <w:pgMar w:left="320" w:top="455" w:right="4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under the Securities Act of 1933, as amended (the “Securities Act”), using a “shelf” registration process. Under this shelf registration process, we and/or one or more selling stockholders may, from time to time, offer our common stock described in this prospectus in one or more offerings or resales. This prospectus provides you with a general description of the common stock that we may offer. Each time our common stock is offered using this prospectus, we will provide a prospectus supplement and attach it to this prospectus and may also provide you with a free writing prospectus. The prospectus supplement and any free writing prospectus will contain more specific information about the offering, including the specific amounts, names of the selling stockholders and the prices at which the shares of our common stock are sold. The prospectus supplement may also add, update, change or clarify information contained in or incorporated by reference into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as described under the heading “Incorporation by Reference” and any additional information described under the heading “Where You Can Find More Information”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described herein have been filed, or will be filed or incorporated by reference, as exhibits to the registration statement of which this prospectus is a part. The registration statement, including the exhibits and documents incorporated or deemed incorporated by reference in this prospectus can be read on the SEC website or at the SEC offices mentioned under the heading “Where You Can Find More Information.”</w:t>
      </w:r>
    </w:p>
    <w:p>
      <w:pPr>
        <w:spacing w:after="0" w:line="190"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SELL ANY SHARES OF OUR COMMON STOCK UNLESS ACCOMPANIED BY A PROSPECTUS SUPPLEMENT.</w:t>
      </w:r>
    </w:p>
    <w:p>
      <w:pPr>
        <w:spacing w:after="0" w:line="15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or any applicable prospectus supplement nor any sale made using this prospectus or any applicable prospectus supplement implies that there has been no change in our affairs or that the information contained in, or incorporated by reference in, this prospectus or in any applicable prospectus supplement is correct as of any date after their respective dates. You should not assume that the information contained in, or incorporated by reference in, this prospectus or any applicable prospectus supplement or any free writing prospectus prepared by us is accurate as of any date other than the respective dates thereof. Our business, financial condition, results of operations and prospects may have changed since those dates.</w:t>
      </w:r>
    </w:p>
    <w:p>
      <w:pPr>
        <w:spacing w:after="0" w:line="18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or a prospectus supplement. We have not authorized anyone to give you different information, and if you are given any information or representation about these matters that is not contained or incorporated by reference in this prospectus or a prospectus supplement, you must not rely on that information. This prospectus and any accompanying prospectus supplement do not constitute an offer to sell or the solicitation of an offer to buy any securities other than the registered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“we,” “our,” “us,” “the Company” and similar terms refer to Aramark and its subsidiaries and references to “Aramark” refer to Aramark and not any of its subsidiaries.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fiscal year ends on the Friday nearest September 30 in each year. In this prospectus, when we refer to our fiscal years, we say “fiscal” and the year number, as in “fiscal 2020,” which refers to our fiscal year ended October 2, 2020. In addition, “client” refers to those businesses and other organizations which engage us to provide services. “Consumers” refers to those consumers of our services, such as employees, students and patrons, to whom our clients provide us access.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data included in this prospectus or used in documents incorporated by reference into this prospectus regarding sectors, geographies and ranking, including the size of certain sectors and geographies and our position and the position of our competitors within these sectors and geographies, are based on our management’s knowledge and experience in the sectors and geographies in which we operate.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sector size, ranking and other similar industry data included or incorporated by reference in this prospectus, and estimates and beliefs based on that data, may not be reliable. While we believe internal company research is reliable, such research has not been verified by any independent source.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STATEMENTS REGARDING FORWARD-LOOKING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contains and incorporates by reference “forward-looking statements” within the meaning of the federal securities laws that involve risks and uncertainties including forward-looking statements in “Item 1. Business” and “Item 7. Management’s Discussion and Analysis of Financial Conditions and Results of Operations” incorporated by reference in this prospectus from Aramark’s Annual Report on Form 10-K for the fiscal year ended October 2, 2020 and “Item 2. Management’s Discussion and Analysis of Financial Condition and Results of Operations” incorporated by reference in this prospectus from Aramark’s Quarterly Report on Form 10-Q for the quarterly period ended January 1, 2021.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190"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the severity and duration of the COVID-19 pandemic; the pandemic’s impact on the U.S. and global economies, including particularly the client sectors we serve and governmental responses to the pandemic; the manner and timing of benefits we expect to receive under the CARES Act or other government programs; unfavorable economic conditions; natural disasters, global calamities,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Foreign Corrupt Practices Act, U.K. Bribery Act and other anti-corruption law compliance;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and other factors set forth under the heading “Risk Factors” in this prospectus and under the headings “Item 1A. Risk Factors,” “Item 3. Legal Proceedings” and “Item 7. Management’s Discussion and Analysis of Financial Condition and Results of Operations” in our Annual Report on Form 10-K for the fiscal year ended October 2, 2020 incorporated by reference herein and “Item 2. Management’s Discussion and Analysis of Financial Condition and Results of Operations” in our Quarterly Report on Form 10-Q for the quarterly period ended January 1, 2021 incorporated by reference herein, as such factors may be updated from time to time in the other documents and reports that we file with the SEC that are incorporated or deemed to be incorporated by reference in this prospectus.</w:t>
      </w:r>
    </w:p>
    <w:p>
      <w:pPr>
        <w:spacing w:after="0" w:line="20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In addition, in light of these risks and uncertainties, the matters referred to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or incorporated by reference in this prospectus may not in fact occur. We undertake no obligation to publicly update or review any forward-looking statement, whether as a result of new information, future developments, changes in our expectations, or otherwise, except as required by law.</w:t>
      </w:r>
    </w:p>
    <w:p>
      <w:pPr>
        <w:spacing w:after="0" w:line="1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320" w:top="455" w:right="8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food, facilities and uniform services. Our core market is the United States, which is supplemented by an additional 18-country footprint. We hold a top 3 position in North America in food and facilities services and the #2 position in North America in uniform services. Internationally, we hold a top 3 position in food and facilities services based on total revenue in fiscal 2020 in most countries in which we have significant operations. Our approximately 247,900 employees partner with thousands of education, healthcare, business and sports, leisure &amp; corrections clients to serve millions of consumers including students, patients, employees, sports fans and guests worldwide.</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operate our business in three reportable segments that share many of the same operating characteristics: Food and Support Services United States (“FSS United States”), Food and Support Services International (“FSS International”) and Uniform and Career Apparel (“Uniform”). The following chart shows a breakdown of our revenue and operating income (loss) by our reportable segments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5194935" cy="1183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19493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Dollars in millions. Operating income (loss) excludes $97.5 million related to corporate expenses.</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fiscal 2020, we generated $12.8 billion of revenue, $264.9 million of operating loss and $461.4 million of net loss.</w:t>
      </w:r>
    </w:p>
    <w:p>
      <w:pPr>
        <w:spacing w:after="0" w:line="200" w:lineRule="exact"/>
        <w:rPr>
          <w:sz w:val="20"/>
          <w:szCs w:val="20"/>
          <w:color w:val="auto"/>
        </w:rPr>
      </w:pPr>
    </w:p>
    <w:p>
      <w:pPr>
        <w:spacing w:after="0" w:line="2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Aramark is organized under the laws of the State of Delaware.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executive offices are located at 2400 Market Street, Philadelphia, Pennsylvania 19103. Our telephone number is (215) 238-3000. Our website is www.aramark.com. This internet address is provided for informational purposes only and is not intended to be a hyperlink. Accordingly, no information in this internet address is included or incorporated by reference in this prospectus and no such information should be relied upon in connection with making any investment decision with respect to any securities offered pursuant to this prospectus.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purchase any securities offered pursuant to this prospectus, you should carefully read and consider the risks and uncertainties and the risk factors set forth under the caption “Risk Factors” in our Annual Report on Form 10-K for the fiscal year ended October 2, 2020, which is incorporated by reference into this prospectus, and under the caption “Risk Factors” or any similar caption in the other documents and reports that we file with the SEC after the date of this prospectus that are incorporated or deemed to be incorporated by reference into this prospectus as well as any risks described in any applicable prospectus supplement or free writing prospectus that we provide you in connection with an offering of any securities pursuant to this prospectus. Additionally, the risks and uncertainties discussed in this prospectus or in any document incorporated by reference into this prospectus are not the only risks and uncertainties that we face, and our business, financial condition, liquidity and results of operations and the market price of our securities could be materially adversely affected by other matters that are not known to us or that we currently do not consider to be material.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 prospectus supplement, we intend to use the net proceeds from sales of the securities offered by us pursuant to this prospectus for general corporate purposes, which may include one or more of the following: refunding, repurchasing, retiring upon maturity, redeeming or repaying existing debt; working capital; capital expenditures; repurchases of our capital stock; and strategic investments and acquisitions. We will not receive any proceeds from sales of securities by selling stockholders.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which are filed as exhibits to the registration statement of which this prospectus is a part.</w:t>
      </w:r>
    </w:p>
    <w:p>
      <w:pPr>
        <w:spacing w:after="0" w:line="162"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General Corporation Law of the State of Delaware (the “DGCL”). Our authorized capital stock consists of 600,000,000 shares of common stock, par value $0.01 per share, and 100,000,000 shares of preferred stock, par value $0.01 per share. As of January 1, 2021, 253,957,496 shares of our common stock were issued and outstanding and no shares of our preferred stock was issued and outstanding. As of January 1, 2021, there were 1,042 holders of record of our common stock. Unless our board of directors determines otherwise, we will issue all shares of our capital stock in uncertificated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shares of our preferred stock having liquidation preferences, if any, the holders of shares of our common stock will be entitled to receive pro rata our remaining assets available for distribution. Holders of shares of our common stock do not have preemptive, subscription, redemption or conversion rights. Shares of our common stock will not be subject to further calls or assessment by us. There will be no redemption or sinking fund provisions applicable to shares of our common stock. All shares of our common stock that will be outstanding at the time of the completion of the offering will be fully paid and non-assessable. The rights, powers, preferences and privileges of holders of shares of our common stock will be subject to those of the holders of any shares of our preferred stock we may authorize and issue in the future.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shares of our common stock is Computershare Trust Company, N.A.</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Listing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“ARMK.”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shares of preferred stock (including shares of convertible preferred stock). Unless required by law or by the NYSE, the authorized shares of preferred stock will be available for issuance without further action by holders of our common stock. Our board of directors is able to determine, with respect to any series of shares of preferred stock, the powers (including voting powers), preferences and relative, participating, optional or other special rights, and the qualifications, limitations or restrictions thereof, including, without limitation:</w:t>
      </w:r>
    </w:p>
    <w:p>
      <w:pPr>
        <w:spacing w:after="0" w:line="8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could issue a series of shares of preferred stock that could, depending on the terms of the series, impede or discourage an acquisition attempt or other transaction that some, or a majority, of the holders of shares of our common stock might believe to be in their best interests or in which the holders of shares of our common stock might receive a premium for your shares of common stock over the market price of the shares of common stock. Additionally, the issuance of shares of preferred stock may adversely affect the holders of shares of our common stock by restricting dividends on the shares of common stock, diluting the voting power of the shares of common stock or subordinating the liquidation rights of the shares of common stock. As a result of these or other factors, the issuance of shares of preferred stock could have an adverse impact on the market price of shares of our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is subject to the discretion of our board of directors. The time and amount of dividends depends on our financial condition, operations, cash requirements and availability, debt repayment obligations, capital expenditure needs and restrictions in our debt instruments, industry trends, the provisions of Delaware law affecting the payment of distributions to stockholders and any other factors our board of directors may consider relevant.</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currently pay a quarterly cash dividend to holders of our common stock and intend to continue to pay cash dividends on our common stock, subject to our compliance with applicable law, and depending on, among other things, our results of operations, financial condition, level of indebtedness, capital requirements, contractual restrictions, business prospects and other factors that our board of directors may deem relevant. In addition, our ability to pay dividends is limited by covenants in our senior secured credit agreement and our notes indentures. Future agreements may also limit our ability to pay dividends.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annual stockholder meetings will be held at a date, time and place, if any, as exclusively selected by our board of directors. To the extent permitted under applicable law, we may conduct meetings by remote communications, including by webcast.</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NYSE, which apply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generally issue preferred shares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shares of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Delaware law provisions may make it more difficult for someone to acquire us through a tender offer, proxy contest or otherwise.</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Section 203 of the DGCL, provides that, subject to certain stated exceptions,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A corporation may not engage in a business combination with any interested stockholder for a period of three years following the time that such stockholder became an interested stockholder unless:</w:t>
      </w:r>
    </w:p>
    <w:p>
      <w:pPr>
        <w:spacing w:after="0" w:line="93" w:lineRule="exact"/>
        <w:rPr>
          <w:sz w:val="20"/>
          <w:szCs w:val="20"/>
          <w:color w:val="auto"/>
        </w:rPr>
      </w:pPr>
    </w:p>
    <w:p>
      <w:pPr>
        <w:ind w:left="1080" w:right="2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transaction which resulted in the stockholder becoming an interested stockholder;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66-2/3% of the outstanding voting stock which is not owned by the interested stockholder.</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effect of these provisions may make a change of control of our business more difficult by delaying, deferring or preventing a tender offer or other takeover attempt that a stockholder might consider in its best interest. This includes attempts that might result in the payment of a premium to stockholders over the market price for their shares. These provisions also may promote the continuity of our management by making it more difficult for a person to remove or change the incumbent members of the board of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1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directors may only be removed by the affirmative vote of holders of at least 75% in voting power of all the then-outstanding shares of stock of the Company entitled to vote thereon, voting together as a single class. In addition, our amended and restated certificate of incorporation also provides that, subject to the rights granted to one or more series of shares of preferred stock then outstanding, any newly created directorship on the board of directors that results from an increase in the number of directors and any vacancy occurring in the board of directors may, unless otherwise required by law or by resolution by the board of directors, only be filled by a majority of the directors then in office, although less than a quorum, or by a sole remaining director (and not by the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special meetings of our stockholders (i) may be called at any time only by or at the direction of the board of directors or the chairman of the board of directors and (ii) shall be called by the chairman of the board of directors or the secretary of the Company upon written request of one or more stockholders that own, or who are acting on behalf of persons who own shares representing 15% or more of the voting power of the then outstanding shares of stock of the Company entitled to vote on the matter or matters to be brought before the proposed special meeting.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Director Nominations and Stockholder Proposals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in advance of the first anniversary of the preceding year’s annual meeting of stockholders. Our amended and restated bylaws also specify requirements as to the form and content of a stockholder’s notice.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contain proxy access provisions that permit, subject to certain conditions and exceptions described therein, a stockholder, or a group of up to 20 stockholders, owning 3% or more of the outstanding shares of stock of the Company entitled to vote generally for the election of directors continuously for at least three years, to nominate and include in our proxy materials candidates for election as directors. Such stockholder or group may nominate up to the greater of two nominees and the largest whole number that does not exceed 20% of our board of directors; provided that the stockholder or group and the nominee(s) satisfy the requirements specified in our amended and restated bylaws. To use the proxy access procedure, a proper notice of proxy access nomination must be received at our principal executive offices not less than 90 days nor more than 120 days in advance of the first anniversary of the preceding year’s annual meeting of stockholders. In no event shall any adjournment or postponement of an annual meeting of stockholders, the date of which has been announced by the Company, commence a new time period for the giving of a notice of proxy access nomination as described above.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shares of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Supermajority Provisions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and our amended and restated certificate of incorporation. Any amendment, alteration, rescission or repeal of our bylaws by our stockholders will require the affirmative vote of the holders of at least 75% in voting power of all the then-outstanding shares of stock of the Company entitled to vote thereon, voting together as a single class.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following provisions in our amended and restated certificate of incorporation may be amended, altered, repealed or rescinded only by the affirmative vote of the holders of at least 75% in voting power of all the then-outstanding shares of stock of the Company entitled to vote thereon, voting together as a single class: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75% supermajority vote for stockholders to amend our amended and restated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related to the Court of Chancery as the exclusive forum for certain types of actions by stockholders;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75% supermajority vote.</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combination of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These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Dissenters’ Rights of Appraisal and Payment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Derivative Actions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shares of our stock at the time of the transaction to which the action relates or such stockholder’s stock thereafter devolved by operation of law.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shall be the sole and exclusive forum for any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stockholder (including any beneficial owner) to bring (i) any derivative action or proceeding brought on behalf of the Company, (ii) any action asserting a claim of breach of a fiduciary duty owed by any director or officer of the Company to the Company or the Company’s stockholders, creditors or other constituents, (iii) any action asserting a claim against the Company or any director or officer of the Company arising pursuant to any provision of the DGCL or our amended and restated certificate of incorporation or our amended and restated bylaws, or (iv) any action asserting a claim against the Company or any director or officer of the Company governed by the internal affairs doctrine, in each such case subject to said Court of Chancery having subject matter jurisdiction, in certain cases, and having personal jurisdiction over the indispensable parties named as defendants therein. Any person or entity purchasing or otherwise acquiring any interest in shares of capital stock of the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currently are party to indemnification agreements with certain of our directors and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selling stockholders will be set forth in a prospectus supplement, in a post-effective amendment or in filings we will make with the SEC that are incorporated by reference in this prospectus.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and/or one or more selling stockholders may sell the shares of our common stock covered by this prospectus in any of the following ways (or in any combination) from time to time:</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New York Stock Exchange (including through at the market offerings);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market makers or into an existing market for the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public offering and sale by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or 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foregoing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Registration of shares of our common stock covered by this prospectus does not mean that those securities necessarily will be offered or sold.</w:t>
      </w:r>
    </w:p>
    <w:p>
      <w:pPr>
        <w:spacing w:after="0" w:line="225" w:lineRule="exact"/>
        <w:rPr>
          <w:sz w:val="20"/>
          <w:szCs w:val="20"/>
          <w:color w:val="auto"/>
        </w:rPr>
      </w:pPr>
    </w:p>
    <w:p>
      <w:pPr>
        <w:ind w:left="120" w:right="800" w:firstLine="440"/>
        <w:spacing w:after="0" w:line="312" w:lineRule="auto"/>
        <w:rPr>
          <w:sz w:val="20"/>
          <w:szCs w:val="20"/>
          <w:color w:val="auto"/>
        </w:rPr>
      </w:pPr>
      <w:r>
        <w:rPr>
          <w:rFonts w:ascii="Times New Roman" w:cs="Times New Roman" w:eastAsia="Times New Roman" w:hAnsi="Times New Roman"/>
          <w:sz w:val="17"/>
          <w:szCs w:val="17"/>
          <w:color w:val="auto"/>
        </w:rPr>
        <w:t>Each time that we or any selling stockholders sell shares of our common stock covered by this prospectus, we will provide a prospectus supplement that will describe the method of distribution and set forth the terms and conditions of the offering of such shares, including:</w:t>
      </w:r>
    </w:p>
    <w:p>
      <w:pPr>
        <w:spacing w:after="0" w:line="4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stockholders and the amounts to be sold by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shares underwritten or purchased by each of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shares and the proceeds to the selling stockholders, and any underwriting discounts, commissions, concessions or agency fees allowed or reallowed or paid to dealers, and other items constituting underwriters’, dealers’, or agents’ compensation, as applicable;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shares from the selling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shares may be listed or traded;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offering price and any discounts, commissions, concessions or agency fees allowed or reallowed or paid to dealers may be changed from time to time. We and/or any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we and/or any selling stockholders sell securities to a dealer acting as a principal, the dealer may resell such securities at varying prices to be determined by such dealer in its discretion at the time of resale without consulting with us any/or the selling stockholders and such resale prices may not be disclosed in the applicable prospectus supplement.</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and/or any selling stockholders may distribute the shares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 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 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We and/or any selling stockholders may use underwriters with whom we have a material relationship. We will describe the nature of any such relationship in the prospectus supplement, naming the underwriter or underwriters.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and/or any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We may engage in at the market offerings into an existing trading market in accordance with Rule 415(a)(4) under the Securities Act. We may authorize underwriters, dealers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broker-dealers and agents that participate in the distribution of the shares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19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Offered shares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the Financial Industry Regulatory Authority, Inc. (“FINRA”), participating in the offering has a “conflict of interest” as defined in FINRA’s Rule 5121 (“ Rule 5121”), that offering will be conducted in accordance with the relevant provisions of Rule 5121.</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can be no assurance that the selling stockholders will sell all or any of the shares of common stock offered by this prospectus.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Agents, dealers and underwriters may be entitled to indemnification by us and the selling stockholders against certain civil liabilities, including liabilities under the Securities Act, or to contribution with respect to payments which the agents, dealers or underwriters may be required to make in respect thereof.</w:t>
      </w:r>
    </w:p>
    <w:p>
      <w:pPr>
        <w:spacing w:after="0" w:line="176" w:lineRule="exact"/>
        <w:rPr>
          <w:sz w:val="20"/>
          <w:szCs w:val="20"/>
          <w:color w:val="auto"/>
        </w:rPr>
      </w:pPr>
    </w:p>
    <w:p>
      <w:pPr>
        <w:jc w:val="center"/>
        <w:ind w:right="240"/>
        <w:spacing w:after="0" w:line="454" w:lineRule="auto"/>
        <w:rPr>
          <w:sz w:val="20"/>
          <w:szCs w:val="20"/>
          <w:color w:val="auto"/>
        </w:rPr>
      </w:pPr>
      <w:r>
        <w:rPr>
          <w:rFonts w:ascii="Times New Roman" w:cs="Times New Roman" w:eastAsia="Times New Roman" w:hAnsi="Times New Roman"/>
          <w:sz w:val="18"/>
          <w:szCs w:val="18"/>
          <w:color w:val="auto"/>
        </w:rPr>
        <w:t>The specific terms of the lock-up provisions in respect of any given offering will be described in the applicable prospectus supplement. 18</w:t>
      </w:r>
    </w:p>
    <w:p>
      <w:pPr>
        <w:sectPr>
          <w:pgSz w:w="11900" w:h="16838" w:orient="portrait"/>
          <w:cols w:equalWidth="0" w:num="1">
            <w:col w:w="11080"/>
          </w:cols>
          <w:pgMar w:left="320" w:top="455"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validity of any securities that may be offered by this prospectus will be passed upon for us by Simpson Thacher &amp; Bartlett LLP, New York, New York or other counsel who is satisfactory to us.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financial statement schedule II of Aramark and subsidiaries as of October 2, 2020 and September 27, 2019 and for each of the fiscal years ended October 2, 2020, September 27, 2019 and September 28, 2018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audit report covering the October 2, 2020 consolidated financial statements refers to a change in the method of accounting for leases and revenue.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By incorporating by reference, we can disclose important information to you by referring you to another document we have filed separately with the SEC. The information incorporated by reference is considered to be part of this prospectus and information that we file in the future with the SEC will automatically update and supersede, as appropriate, this information. We incorporate by reference the documents listed below and all documents that we file with the SEC under Sections 13(a), 13(c), 14 or 15(d) of the Securities Exchange Act of 1934, as amended, after the date of this prospectus, from their respective filing dates:</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October 2, 2020 that we filed with the SEC on November 24,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January 1, 2021 that we filed with the SEC on February 9, 2021;</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November 19,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4,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16, 2020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February 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100" w:hanging="424"/>
        <w:spacing w:after="0" w:line="289"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registration statement on </w:t>
      </w:r>
      <w:hyperlink r:id="rId18">
        <w:r>
          <w:rPr>
            <w:rFonts w:ascii="Times New Roman" w:cs="Times New Roman" w:eastAsia="Times New Roman" w:hAnsi="Times New Roman"/>
            <w:sz w:val="17"/>
            <w:szCs w:val="17"/>
            <w:u w:val="single" w:color="auto"/>
            <w:color w:val="0000EE"/>
          </w:rPr>
          <w:t>Form 8-A</w:t>
        </w:r>
      </w:hyperlink>
      <w:r>
        <w:rPr>
          <w:rFonts w:ascii="Times New Roman" w:cs="Times New Roman" w:eastAsia="Times New Roman" w:hAnsi="Times New Roman"/>
          <w:sz w:val="17"/>
          <w:szCs w:val="17"/>
          <w:color w:val="auto"/>
        </w:rPr>
        <w:t xml:space="preserve">, filed on December 5, 2013 (File No. 001-36223), pursuant to Section 12(b) of the Exchange Act, including all other amendments and reports filed for the purpose of updating such description, including </w:t>
      </w:r>
      <w:hyperlink r:id="rId48">
        <w:r>
          <w:rPr>
            <w:rFonts w:ascii="Times New Roman" w:cs="Times New Roman" w:eastAsia="Times New Roman" w:hAnsi="Times New Roman"/>
            <w:sz w:val="17"/>
            <w:szCs w:val="17"/>
            <w:u w:val="single" w:color="auto"/>
            <w:color w:val="0000EE"/>
          </w:rPr>
          <w:t>Exhibit 4.6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the Company’s Annual Report on Form 10-K for the fiscal year ended October 2, 2020, filed with the Commission on November 24, 2020.</w:t>
      </w:r>
    </w:p>
    <w:p>
      <w:pPr>
        <w:spacing w:after="0" w:line="158" w:lineRule="exact"/>
        <w:rPr>
          <w:rFonts w:ascii="Times New Roman" w:cs="Times New Roman" w:eastAsia="Times New Roman" w:hAnsi="Times New Roman"/>
          <w:sz w:val="17"/>
          <w:szCs w:val="17"/>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we are not incorporating by reference information furnished under Items 2.02 and 7.01 of any Current Report on Form 8-K (including any Form 8-K itemized above), including the related exhibits, nor in any documents or other information that is deemed to have been “furnished” to and not “filed” with the SEC.</w:t>
      </w:r>
    </w:p>
    <w:p>
      <w:pPr>
        <w:spacing w:after="0" w:line="176"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shall be deemed to be modified or superseded for purposes of this prospectus to the extent that a statement contained herein or in any other subsequently filed document that also is incorporated by reference in this prospectus modifies or supersedes such statement. Any statement so modified or superseded shall not be deemed, except as so modified or superseded, to constitute a part of this prospectus or any prospectus supplement.</w:t>
      </w:r>
    </w:p>
    <w:p>
      <w:pPr>
        <w:spacing w:after="0" w:line="11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any or all of the documents referred to above that have been or may be incorporated by reference into this prospectus (excluding certain exhibits to the documents) at no cost, by writing or calling us at the following address or telephone number:</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Aramark</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2400 Market Street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 409-7287</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covered by this prospectus. This prospectus is a part of the registration statement and does not contain all of the information set forth in the registration statement, portions of which have been omitted as permitted by the rules and regulations of the SEC. For further information about us and the securities covered by this prospectus, you should refer to the registration statement and to its exhibits and schedules. Our descriptions in this prospectus of the provisions of documents filed as exhibits to the registration statement or otherwise filed with the SEC are only summaries of the terms of those documents that we consider material. If you want a complete description of the content of such documents, you should obtain the documents yourself by following the procedures described above.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will file annual, quarterly and current reports and other information with the SEC. Our filings with the SEC will be available to the public on the SEC’s website at http://www.sec.gov. Those filings will also be available to the public on, or accessible through, our corporate website at http://www.aramark.com. The information contained on our corporate website or any other website that we may maintain is not part of this prospectus, any prospectus supplement or the registration statement of which this prospectus is a part.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1972945</wp:posOffset>
            </wp:positionV>
            <wp:extent cx="1474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215265</wp:posOffset>
            </wp:positionV>
            <wp:extent cx="161163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February 17, 2021</w:t>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e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jpe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jpeg"/><Relationship Id="rId53" Type="http://schemas.openxmlformats.org/officeDocument/2006/relationships/image" Target="media/image38.png"/><Relationship Id="rId15" Type="http://schemas.openxmlformats.org/officeDocument/2006/relationships/hyperlink" Target="http://www.sec.gov/ix?doc=/Archives/edgar/data/1584509/000158450920000230/cik0-20201002.htm" TargetMode="External"/><Relationship Id="rId16" Type="http://schemas.openxmlformats.org/officeDocument/2006/relationships/hyperlink" Target="http://www.sec.gov/ix?doc=/Archives/edgar/data/1584509/000158450921000046/cik0-20210101.htm" TargetMode="External"/><Relationship Id="rId17" Type="http://schemas.openxmlformats.org/officeDocument/2006/relationships/hyperlink" Target="http://www.sec.gov/ix?doc=/Archives/edgar/data/1584509/000158450921000041/cik0-20210202.htm" TargetMode="External"/><Relationship Id="rId18" Type="http://schemas.openxmlformats.org/officeDocument/2006/relationships/hyperlink" Target="http://www.sec.gov/Archives/edgar/data/1584509/000119312513463257/d638211d8a12b.htm" TargetMode="External"/><Relationship Id="rId45" Type="http://schemas.openxmlformats.org/officeDocument/2006/relationships/hyperlink" Target="http://www.sec.gov/Archives/edgar/data/1584509/000158450920000230/cik0-20201002.htm" TargetMode="External"/><Relationship Id="rId46" Type="http://schemas.openxmlformats.org/officeDocument/2006/relationships/hyperlink" Target="http://www.sec.gov/Archives/edgar/data/1584509/000158450921000046/cik0-20210101.htm" TargetMode="External"/><Relationship Id="rId47" Type="http://schemas.openxmlformats.org/officeDocument/2006/relationships/hyperlink" Target="http://www.sec.gov/Archives/edgar/data/1584509/000158450921000041/cik0-20210202.htm" TargetMode="External"/><Relationship Id="rId48" Type="http://schemas.openxmlformats.org/officeDocument/2006/relationships/hyperlink" Target="http://www.sec.gov/Archives/edgar/data/1584509/000158450920000230/ex462020xdescription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2021-02-17T16:18:06Z</dcterms:created>
  <dcterms:modified xsi:type="dcterms:W3CDTF">2021-02-17T16:18:06Z</dcterms:modified>
</cp:coreProperties>
</file>