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112456.xml.htm"/>
      <w:bookmarkStart w:id="1" w:name="kswkform4_17761124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DREILING RICHARD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796"/>
        <w:gridCol w:w="449"/>
        <w:gridCol w:w="752"/>
        <w:gridCol w:w="1359"/>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641</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42.86</w:t>
            </w:r>
            <w:r>
              <w:rPr/>
              <w:t xml:space="preserve"> </w:t>
            </w:r>
          </w:p>
        </w:tc>
        <w:tc>
          <w:tcPr>
            <w:tcW w:w="13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14,502.162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fully vested deferred stock units into which the director has elected to defer all of his cash retainer, which will be settled in shares of common stock on the first day of the seventh month after the date of the director's departure from the board.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9831"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3274</Characters>
  <CharactersWithSpaces>3823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