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446.xml.htm"/>
      <w:bookmarkStart w:id="1" w:name="kswkform4_17890714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Creed Greg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1051"/>
        <w:gridCol w:w="441"/>
        <w:gridCol w:w="604"/>
        <w:gridCol w:w="1351"/>
        <w:gridCol w:w="981"/>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143.569</w:t>
            </w:r>
            <w:r>
              <w:rPr>
                <w:rFonts w:ascii="Times;serif" w:hAnsi="Times;serif"/>
                <w:color w:val="008000"/>
                <w:position w:val="7"/>
                <w:sz w:val="16"/>
                <w:sz w:val="20"/>
                <w:shd w:fill="FFFFFF" w:val="clear"/>
              </w:rPr>
              <w:t>(1)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68,232.076</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12,475</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in connection with the Issuer's quarterly dividend and accrued to the reporting person on deferred stock units held by the reporting person. These dividend equivalent rights vest on the same schedules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254"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3315</Characters>
  <CharactersWithSpaces>3850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