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1327.xml.htm"/>
      <w:bookmarkStart w:id="1" w:name="kswkform4_17890713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King Karen Marie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ARAMARK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2400 MARKET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Aramark</w:t>
              </w:r>
            </w:hyperlink>
            <w:r>
              <w:rPr/>
              <w:t xml:space="preserve"> [ </w:t>
            </w:r>
            <w:r>
              <w:rPr>
                <w:rFonts w:ascii="Times;serif" w:hAnsi="Times;serif"/>
                <w:color w:val="0000FF"/>
                <w:sz w:val="24"/>
                <w:shd w:fill="FFFFFF" w:val="clear"/>
              </w:rPr>
              <w:t>ARMK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968"/>
        <w:gridCol w:w="446"/>
        <w:gridCol w:w="609"/>
        <w:gridCol w:w="1358"/>
        <w:gridCol w:w="988"/>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24.471</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42,827.279</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in connection with the Issuer's quarterly dividend and accrued to the reporting person on deferred stock units held by the reporting person. These dividend equivalent rights vest on the same schedules as the underlying awards.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 Spengler,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1144" TargetMode="External"/><Relationship Id="rId5" Type="http://schemas.openxmlformats.org/officeDocument/2006/relationships/hyperlink" Target="http://www.sec.gov/cgi-bin/browse-edgar?action=getcompany&amp;CIK=00015845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602</Words>
  <Characters>3294</Characters>
  <CharactersWithSpaces>3828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