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CAMERON SUSAN M.</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Aramark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ARMK</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3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20" w:type="dxa"/>
            <w:vAlign w:val="bottom"/>
            <w:tcBorders>
              <w:bottom w:val="single" w:sz="8" w:color="0000EE"/>
            </w:tcBorders>
            <w:gridSpan w:val="2"/>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39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ARAMARK</w:t>
            </w:r>
          </w:p>
        </w:tc>
        <w:tc>
          <w:tcPr>
            <w:tcW w:w="1520" w:type="dxa"/>
            <w:vAlign w:val="bottom"/>
          </w:tcPr>
          <w:p>
            <w:pPr>
              <w:spacing w:after="0"/>
              <w:rPr>
                <w:sz w:val="11"/>
                <w:szCs w:val="11"/>
                <w:color w:val="auto"/>
              </w:rPr>
            </w:pPr>
          </w:p>
        </w:tc>
        <w:tc>
          <w:tcPr>
            <w:tcW w:w="3900" w:type="dxa"/>
            <w:vAlign w:val="bottom"/>
            <w:gridSpan w:val="4"/>
            <w:vMerge w:val="continue"/>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2400 MARKET STREET</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108.088</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48,334.209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quarterly dividend and accrued to the reporting person on deferred stock units held by the reporting person. These dividend equivalent rights vest on the same schedules as the underlying awards.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 Spengler,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7075" TargetMode="External"/><Relationship Id="rId14" Type="http://schemas.openxmlformats.org/officeDocument/2006/relationships/hyperlink" Target="http://www.sec.gov/cgi-bin/browse-edgar?action=getcompany&amp;CIK=00015845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2026-06-04T17:19:52Z</dcterms:created>
  <dcterms:modified xsi:type="dcterms:W3CDTF">2026-06-04T17:19:52Z</dcterms:modified>
</cp:coreProperties>
</file>