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Washington, D.C. 20549</w:t>
      </w:r>
    </w:p>
    <w:p>
      <w:pPr>
        <w:spacing w:after="0" w:line="6"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93"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SCHEDULE 14A</w:t>
      </w:r>
    </w:p>
    <w:p>
      <w:pPr>
        <w:spacing w:after="0" w:line="307"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Proxy Statement Pursuant to Section 14(a) of the</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Exchange Act of 1934</w:t>
      </w:r>
    </w:p>
    <w:p>
      <w:pPr>
        <w:spacing w:after="0" w:line="6"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ectPr>
          <w:pgSz w:w="11900" w:h="16838" w:orient="portrait"/>
          <w:cols w:equalWidth="0" w:num="1">
            <w:col w:w="11180"/>
          </w:cols>
          <w:pgMar w:left="240" w:top="652" w:right="479" w:bottom="1440" w:gutter="0" w:footer="0" w:header="0"/>
        </w:sectPr>
      </w:pPr>
    </w:p>
    <w:p>
      <w:pPr>
        <w:spacing w:after="0" w:line="317"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1960" w:space="720"/>
            <w:col w:w="8500"/>
          </w:cols>
          <w:pgMar w:left="240" w:top="652" w:right="47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180"/>
          </w:cols>
          <w:pgMar w:left="240" w:top="652" w:right="479" w:bottom="1440" w:gutter="0" w:footer="0" w:header="0"/>
          <w:type w:val="continuous"/>
        </w:sectPr>
      </w:pPr>
    </w:p>
    <w:p>
      <w:pPr>
        <w:spacing w:after="0" w:line="24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0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Soliciting Material Pursuant to </w:t>
      </w:r>
      <w:r>
        <w:rPr>
          <w:rFonts w:ascii="Arial" w:cs="Arial" w:eastAsia="Arial" w:hAnsi="Arial"/>
          <w:sz w:val="16"/>
          <w:szCs w:val="16"/>
          <w:color w:val="auto"/>
        </w:rPr>
        <w:t>§</w:t>
      </w:r>
      <w:r>
        <w:rPr>
          <w:rFonts w:ascii="Arial" w:cs="Arial" w:eastAsia="Arial" w:hAnsi="Arial"/>
          <w:sz w:val="18"/>
          <w:szCs w:val="18"/>
          <w:color w:val="auto"/>
        </w:rPr>
        <w:t>240.14a-12</w:t>
      </w:r>
    </w:p>
    <w:p>
      <w:pPr>
        <w:spacing w:after="0" w:line="14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Aramark</w:t>
      </w:r>
    </w:p>
    <w:p>
      <w:pPr>
        <w:spacing w:after="0" w:line="73"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(Name of Registrant as Specified In Its Charter)</w:t>
      </w:r>
    </w:p>
    <w:p>
      <w:pPr>
        <w:spacing w:after="0" w:line="217"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tabs>
          <w:tab w:leader="none" w:pos="260" w:val="left"/>
        </w:tabs>
        <w:rPr>
          <w:sz w:val="20"/>
          <w:szCs w:val="20"/>
          <w:color w:val="auto"/>
        </w:rPr>
      </w:pPr>
      <w:r>
        <w:rPr>
          <w:rFonts w:ascii="Arial" w:cs="Arial" w:eastAsia="Arial" w:hAnsi="Arial"/>
          <w:sz w:val="18"/>
          <w:szCs w:val="18"/>
          <w:color w:val="auto"/>
        </w:rPr>
        <w:t>x</w:t>
        <w:tab/>
        <w:t>No fee required.</w:t>
      </w:r>
    </w:p>
    <w:p>
      <w:pPr>
        <w:spacing w:after="0" w:line="18"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6" w:lineRule="exact"/>
        <w:rPr>
          <w:sz w:val="24"/>
          <w:szCs w:val="24"/>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w:t>
      </w:r>
    </w:p>
    <w:p>
      <w:pPr>
        <w:spacing w:after="0" w:line="90" w:lineRule="exact"/>
        <w:rPr>
          <w:sz w:val="24"/>
          <w:szCs w:val="24"/>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w:t>
      </w:r>
    </w:p>
    <w:p>
      <w:pPr>
        <w:spacing w:after="0" w:line="90" w:lineRule="exact"/>
        <w:rPr>
          <w:sz w:val="24"/>
          <w:szCs w:val="24"/>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46"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filing fee is calculated and state how it was determined):</w:t>
      </w:r>
    </w:p>
    <w:p>
      <w:pPr>
        <w:spacing w:after="0" w:line="7" w:lineRule="exact"/>
        <w:rPr>
          <w:sz w:val="24"/>
          <w:szCs w:val="24"/>
          <w:color w:val="auto"/>
        </w:rPr>
      </w:pPr>
    </w:p>
    <w:p>
      <w:pPr>
        <w:ind w:left="6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w:t>
      </w:r>
    </w:p>
    <w:p>
      <w:pPr>
        <w:spacing w:after="0" w:line="90" w:lineRule="exact"/>
        <w:rPr>
          <w:sz w:val="24"/>
          <w:szCs w:val="24"/>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w:t>
      </w:r>
    </w:p>
    <w:p>
      <w:pPr>
        <w:spacing w:after="0" w:line="90" w:lineRule="exact"/>
        <w:rPr>
          <w:sz w:val="24"/>
          <w:szCs w:val="24"/>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w:t>
      </w:r>
    </w:p>
    <w:p>
      <w:pPr>
        <w:spacing w:after="0" w:line="90" w:lineRule="exact"/>
        <w:rPr>
          <w:sz w:val="24"/>
          <w:szCs w:val="24"/>
          <w:color w:val="auto"/>
        </w:rPr>
      </w:pPr>
    </w:p>
    <w:p>
      <w:pPr>
        <w:ind w:left="360" w:hanging="352"/>
        <w:spacing w:after="0"/>
        <w:tabs>
          <w:tab w:leader="none" w:pos="3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660" w:hanging="652"/>
        <w:spacing w:after="0" w:line="288" w:lineRule="auto"/>
        <w:tabs>
          <w:tab w:leader="none" w:pos="6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sz w:val="24"/>
          <w:szCs w:val="24"/>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w:t>
      </w:r>
    </w:p>
    <w:p>
      <w:pPr>
        <w:spacing w:after="0" w:line="90" w:lineRule="exact"/>
        <w:rPr>
          <w:sz w:val="24"/>
          <w:szCs w:val="24"/>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w:t>
      </w:r>
    </w:p>
    <w:p>
      <w:pPr>
        <w:spacing w:after="0" w:line="90" w:lineRule="exact"/>
        <w:rPr>
          <w:sz w:val="24"/>
          <w:szCs w:val="24"/>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w:t>
      </w:r>
    </w:p>
    <w:p>
      <w:pPr>
        <w:spacing w:after="0" w:line="90" w:lineRule="exact"/>
        <w:rPr>
          <w:sz w:val="24"/>
          <w:szCs w:val="24"/>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w:t>
      </w:r>
    </w:p>
    <w:p>
      <w:pPr>
        <w:sectPr>
          <w:pgSz w:w="11900" w:h="16838" w:orient="portrait"/>
          <w:cols w:equalWidth="0" w:num="1">
            <w:col w:w="11180"/>
          </w:cols>
          <w:pgMar w:left="240" w:top="652" w:right="479" w:bottom="1440" w:gutter="0" w:footer="0" w:header="0"/>
          <w:type w:val="continuous"/>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t>Commencing on January 9, 2020, Aramark will be sending the following email to a number of its largest institutional investors in connection with its upcoming annual meeting of shareholders to be held on January 29, 2020.</w:t>
      </w:r>
    </w:p>
    <w:p>
      <w:pPr>
        <w:spacing w:after="0" w:line="179"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Happy New Year! Thank you for taking the time to engage with us and providing your valued insight related to our corporate governance practices. As a follow up to our dialogue, we filed our definitive proxy statement on December 20</w:t>
      </w:r>
      <w:r>
        <w:rPr>
          <w:rFonts w:ascii="Arial" w:cs="Arial" w:eastAsia="Arial" w:hAnsi="Arial"/>
          <w:sz w:val="24"/>
          <w:szCs w:val="24"/>
          <w:color w:val="auto"/>
          <w:vertAlign w:val="superscript"/>
        </w:rPr>
        <w:t>th</w:t>
      </w:r>
      <w:r>
        <w:rPr>
          <w:rFonts w:ascii="Arial" w:cs="Arial" w:eastAsia="Arial" w:hAnsi="Arial"/>
          <w:sz w:val="17"/>
          <w:szCs w:val="17"/>
          <w:color w:val="auto"/>
        </w:rPr>
        <w:t>, 2019 (</w:t>
      </w:r>
      <w:r>
        <w:rPr>
          <w:rFonts w:ascii="Arial" w:cs="Arial" w:eastAsia="Arial" w:hAnsi="Arial"/>
          <w:sz w:val="17"/>
          <w:szCs w:val="17"/>
          <w:u w:val="single" w:color="auto"/>
          <w:color w:val="0563C1"/>
        </w:rPr>
        <w:t>Proxy</w:t>
      </w:r>
      <w:r>
        <w:rPr>
          <w:rFonts w:ascii="Arial" w:cs="Arial" w:eastAsia="Arial" w:hAnsi="Arial"/>
          <w:sz w:val="17"/>
          <w:szCs w:val="17"/>
          <w:color w:val="auto"/>
        </w:rPr>
        <w:t>). Your feedback was instrumental in the governance and compensation enhancements we made this year. As detailed further in our proxy, we took the following actions:</w:t>
      </w:r>
    </w:p>
    <w:p>
      <w:pPr>
        <w:spacing w:after="0" w:line="352" w:lineRule="exact"/>
        <w:rPr>
          <w:sz w:val="20"/>
          <w:szCs w:val="20"/>
          <w:color w:val="auto"/>
        </w:rPr>
      </w:pPr>
    </w:p>
    <w:p>
      <w:pPr>
        <w:ind w:left="340" w:right="100" w:hanging="332"/>
        <w:spacing w:after="0" w:line="274"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We have five new independent directors standing for election by shareholders at our January 29th Annual Meeting (four of whom we added in October), and who further align overall board skills and qualifications with the Company’s strategic vision, business and operations </w:t>
      </w:r>
      <w:r>
        <w:rPr>
          <w:rFonts w:ascii="Arial" w:cs="Arial" w:eastAsia="Arial" w:hAnsi="Arial"/>
          <w:sz w:val="17"/>
          <w:szCs w:val="17"/>
          <w:i w:val="1"/>
          <w:iCs w:val="1"/>
          <w:color w:val="4472C4"/>
        </w:rPr>
        <w:t>(see pgs. 3-12)</w:t>
      </w:r>
    </w:p>
    <w:p>
      <w:pPr>
        <w:ind w:left="340" w:right="48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connection with the appointment of our new CEO, the Board determined to separate the Chair and CEO positions, and appointed an independent Chairman and Vice Chairman </w:t>
      </w:r>
      <w:r>
        <w:rPr>
          <w:rFonts w:ascii="Arial" w:cs="Arial" w:eastAsia="Arial" w:hAnsi="Arial"/>
          <w:sz w:val="18"/>
          <w:szCs w:val="18"/>
          <w:i w:val="1"/>
          <w:iCs w:val="1"/>
          <w:color w:val="4472C4"/>
        </w:rPr>
        <w:t>(see pg. 13)</w:t>
      </w:r>
    </w:p>
    <w:p>
      <w:pPr>
        <w:ind w:left="340" w:right="20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had certain executive transitions over the course of the past year, and have provided transparency on all corresponding compensation decisions </w:t>
      </w:r>
      <w:r>
        <w:rPr>
          <w:rFonts w:ascii="Arial" w:cs="Arial" w:eastAsia="Arial" w:hAnsi="Arial"/>
          <w:sz w:val="18"/>
          <w:szCs w:val="18"/>
          <w:i w:val="1"/>
          <w:iCs w:val="1"/>
          <w:color w:val="4472C4"/>
        </w:rPr>
        <w:t>(see</w:t>
      </w:r>
      <w:r>
        <w:rPr>
          <w:rFonts w:ascii="Arial" w:cs="Arial" w:eastAsia="Arial" w:hAnsi="Arial"/>
          <w:sz w:val="18"/>
          <w:szCs w:val="18"/>
          <w:color w:val="auto"/>
        </w:rPr>
        <w:t xml:space="preserve"> </w:t>
      </w:r>
      <w:r>
        <w:rPr>
          <w:rFonts w:ascii="Arial" w:cs="Arial" w:eastAsia="Arial" w:hAnsi="Arial"/>
          <w:sz w:val="18"/>
          <w:szCs w:val="18"/>
          <w:i w:val="1"/>
          <w:iCs w:val="1"/>
          <w:color w:val="4472C4"/>
        </w:rPr>
        <w:t xml:space="preserve">pgs. 27-28, 43-45 and our recently filed </w:t>
      </w:r>
      <w:r>
        <w:rPr>
          <w:rFonts w:ascii="Arial" w:cs="Arial" w:eastAsia="Arial" w:hAnsi="Arial"/>
          <w:sz w:val="18"/>
          <w:szCs w:val="18"/>
          <w:i w:val="1"/>
          <w:iCs w:val="1"/>
          <w:u w:val="single" w:color="auto"/>
          <w:color w:val="0563C1"/>
        </w:rPr>
        <w:t>Supplement</w:t>
      </w:r>
      <w:r>
        <w:rPr>
          <w:rFonts w:ascii="Arial" w:cs="Arial" w:eastAsia="Arial" w:hAnsi="Arial"/>
          <w:sz w:val="18"/>
          <w:szCs w:val="18"/>
          <w:i w:val="1"/>
          <w:iCs w:val="1"/>
          <w:color w:val="4472C4"/>
        </w:rPr>
        <w:t xml:space="preserve"> to the Proxy)</w:t>
      </w:r>
    </w:p>
    <w:p>
      <w:pPr>
        <w:ind w:left="340" w:right="2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Shareholder feedback following our 2018 and 2019 say-on-pay votes was taken into account in the construct of our new CEO’s compensation package </w:t>
      </w:r>
      <w:r>
        <w:rPr>
          <w:rFonts w:ascii="Arial" w:cs="Arial" w:eastAsia="Arial" w:hAnsi="Arial"/>
          <w:sz w:val="18"/>
          <w:szCs w:val="18"/>
          <w:i w:val="1"/>
          <w:iCs w:val="1"/>
          <w:color w:val="4472C4"/>
        </w:rPr>
        <w:t>(see pgs. 28-29, 34)</w:t>
      </w:r>
    </w:p>
    <w:p>
      <w:pPr>
        <w:ind w:left="340" w:right="4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Compensation Committee modified the performance metrics in both our annual and long-term incentive plans to further incentivize sustainable business growth</w:t>
      </w:r>
    </w:p>
    <w:p>
      <w:pPr>
        <w:ind w:left="980" w:hanging="324"/>
        <w:spacing w:after="0" w:line="250"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FY 2020 annual incentive metrics focus more heavily on revenue and profitability, which are key short-term measurements to our longer success </w:t>
      </w:r>
      <w:r>
        <w:rPr>
          <w:rFonts w:ascii="Arial" w:cs="Arial" w:eastAsia="Arial" w:hAnsi="Arial"/>
          <w:sz w:val="18"/>
          <w:szCs w:val="18"/>
          <w:i w:val="1"/>
          <w:iCs w:val="1"/>
          <w:color w:val="4472C4"/>
        </w:rPr>
        <w:t>(see pg. 39)</w:t>
      </w:r>
    </w:p>
    <w:p>
      <w:pPr>
        <w:ind w:left="980" w:right="60" w:hanging="324"/>
        <w:spacing w:after="0" w:line="250"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FY 2020 PSU metrics focus on revenue growth, profitability growth and long-term return on capital to correlate with our long-term strategy and incorporate a relative total shareholder return modifier to align with shareholders </w:t>
      </w:r>
      <w:r>
        <w:rPr>
          <w:rFonts w:ascii="Arial" w:cs="Arial" w:eastAsia="Arial" w:hAnsi="Arial"/>
          <w:sz w:val="18"/>
          <w:szCs w:val="18"/>
          <w:i w:val="1"/>
          <w:iCs w:val="1"/>
          <w:color w:val="4472C4"/>
        </w:rPr>
        <w:t>(see pg. 42)</w:t>
      </w:r>
    </w:p>
    <w:p>
      <w:pPr>
        <w:ind w:left="340" w:right="380" w:hanging="332"/>
        <w:spacing w:after="0" w:line="28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Our compensation peer group was reconstituted to better align with our business, including companies that generally focus on providing business services, have a logistics-centered business model, have a repeatable business model and are consumer facing with large workforces </w:t>
      </w:r>
      <w:r>
        <w:rPr>
          <w:rFonts w:ascii="Arial" w:cs="Arial" w:eastAsia="Arial" w:hAnsi="Arial"/>
          <w:sz w:val="16"/>
          <w:szCs w:val="16"/>
          <w:i w:val="1"/>
          <w:iCs w:val="1"/>
          <w:color w:val="4472C4"/>
        </w:rPr>
        <w:t>(see pgs. 46-51)</w:t>
      </w:r>
    </w:p>
    <w:p>
      <w:pPr>
        <w:spacing w:after="0" w:line="1" w:lineRule="exact"/>
        <w:rPr>
          <w:rFonts w:ascii="Arial" w:cs="Arial" w:eastAsia="Arial" w:hAnsi="Arial"/>
          <w:sz w:val="16"/>
          <w:szCs w:val="16"/>
          <w:color w:val="auto"/>
        </w:rPr>
      </w:pPr>
    </w:p>
    <w:p>
      <w:pPr>
        <w:ind w:left="340" w:right="340" w:hanging="332"/>
        <w:spacing w:after="0" w:line="26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proposed amendment to the equity compensation plan to increase the share reserve will allow us to continue granting equity-based awards to our employees and directors over the next few years aligning interests with shareholders </w:t>
      </w:r>
      <w:r>
        <w:rPr>
          <w:rFonts w:ascii="Arial" w:cs="Arial" w:eastAsia="Arial" w:hAnsi="Arial"/>
          <w:sz w:val="18"/>
          <w:szCs w:val="18"/>
          <w:i w:val="1"/>
          <w:iCs w:val="1"/>
          <w:color w:val="4472C4"/>
        </w:rPr>
        <w:t>(see pg. 75)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engaging directly with you related to our proxy statement as an ongoing resource.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Felise</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1)"/>
      <w:numFmt w:val="decimal"/>
      <w:start w:val="4"/>
    </w:lvl>
  </w:abstractNum>
  <w:abstractNum w:abstractNumId="13">
    <w:nsid w:val="DED726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2020-01-09T08:14:45Z</dcterms:created>
  <dcterms:modified xsi:type="dcterms:W3CDTF">2020-01-09T08:14:45Z</dcterms:modified>
</cp:coreProperties>
</file>