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974676.xml.htm"/>
      <w:bookmarkStart w:id="1" w:name="kswkform4_17839746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Creed Greg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07"/>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583</w:t>
            </w:r>
            <w:r>
              <w:rPr>
                <w:rFonts w:ascii="Times;serif" w:hAnsi="Times;serif"/>
                <w:color w:val="008000"/>
                <w:position w:val="7"/>
                <w:sz w:val="16"/>
                <w:sz w:val="20"/>
                <w:shd w:fill="FFFFFF" w:val="clear"/>
              </w:rPr>
              <w:t>(1)</w:t>
            </w:r>
            <w:r>
              <w:rPr/>
              <w:t xml:space="preserve"> </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68,088.507</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12,475</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fully vested deferred stock units into which the director has elected to defer all of his cash retainer, which will be settled in shares of common stock on the first day of the seventh month after the date of the director's departure from the board.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6254"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614</Words>
  <Characters>3288</Characters>
  <CharactersWithSpaces>3838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