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1361.xml.htm"/>
      <w:bookmarkStart w:id="1" w:name="kswkform4_17890713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KEVERIAN KENNETH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ARAMARK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2400 MARKET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Aramark</w:t>
              </w:r>
            </w:hyperlink>
            <w:r>
              <w:rPr/>
              <w:t xml:space="preserve"> [ </w:t>
            </w:r>
            <w:r>
              <w:rPr>
                <w:rFonts w:ascii="Times;serif" w:hAnsi="Times;serif"/>
                <w:color w:val="0000FF"/>
                <w:sz w:val="24"/>
                <w:shd w:fill="FFFFFF" w:val="clear"/>
              </w:rPr>
              <w:t>ARMK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968"/>
        <w:gridCol w:w="446"/>
        <w:gridCol w:w="609"/>
        <w:gridCol w:w="1358"/>
        <w:gridCol w:w="988"/>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61.449</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29,203.826</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in connection with the Issuer's quarterly dividend and accrued to the reporting person on deferred stock units held by the reporting person. These dividend equivalent rights vest on the same schedules as the underlying awards.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 Spengler,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4043" TargetMode="External"/><Relationship Id="rId5" Type="http://schemas.openxmlformats.org/officeDocument/2006/relationships/hyperlink" Target="http://www.sec.gov/cgi-bin/browse-edgar?action=getcompany&amp;CIK=00015845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602</Words>
  <Characters>3296</Characters>
  <CharactersWithSpaces>3830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