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DelGhiaccio Brian M</w:t>
              </w:r>
            </w:hyperlink>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Aramark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ARMK</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40" w:type="dxa"/>
            <w:vAlign w:val="bottom"/>
            <w:gridSpan w:val="3"/>
            <w:vMerge w:val="continue"/>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0000EE"/>
            </w:tcBorders>
          </w:tcPr>
          <w:p>
            <w:pPr>
              <w:spacing w:after="0"/>
              <w:rPr>
                <w:sz w:val="6"/>
                <w:szCs w:val="6"/>
                <w:color w:val="auto"/>
              </w:rPr>
            </w:pPr>
          </w:p>
        </w:tc>
        <w:tc>
          <w:tcPr>
            <w:tcW w:w="30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00" w:type="dxa"/>
            <w:vAlign w:val="bottom"/>
            <w:vMerge w:val="restart"/>
          </w:tcPr>
          <w:p>
            <w:pPr>
              <w:ind w:left="3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390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ARAMARK</w:t>
            </w:r>
          </w:p>
        </w:tc>
        <w:tc>
          <w:tcPr>
            <w:tcW w:w="1500" w:type="dxa"/>
            <w:vAlign w:val="bottom"/>
          </w:tcPr>
          <w:p>
            <w:pPr>
              <w:spacing w:after="0"/>
              <w:rPr>
                <w:sz w:val="11"/>
                <w:szCs w:val="11"/>
                <w:color w:val="auto"/>
              </w:rPr>
            </w:pPr>
          </w:p>
        </w:tc>
        <w:tc>
          <w:tcPr>
            <w:tcW w:w="3900" w:type="dxa"/>
            <w:vAlign w:val="bottom"/>
            <w:gridSpan w:val="4"/>
            <w:vMerge w:val="continue"/>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40" w:type="dxa"/>
            <w:vAlign w:val="bottom"/>
            <w:gridSpan w:val="3"/>
            <w:vMerge w:val="continue"/>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1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2400 MARKET STREET</w:t>
            </w: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0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PHILADELPHIA PA</w:t>
            </w:r>
          </w:p>
        </w:tc>
        <w:tc>
          <w:tcPr>
            <w:tcW w:w="1600" w:type="dxa"/>
            <w:vAlign w:val="bottom"/>
          </w:tcPr>
          <w:p>
            <w:pPr>
              <w:jc w:val="right"/>
              <w:ind w:right="643"/>
              <w:spacing w:after="0"/>
              <w:rPr>
                <w:sz w:val="20"/>
                <w:szCs w:val="20"/>
                <w:color w:val="auto"/>
              </w:rPr>
            </w:pPr>
            <w:r>
              <w:rPr>
                <w:rFonts w:ascii="Times New Roman" w:cs="Times New Roman" w:eastAsia="Times New Roman" w:hAnsi="Times New Roman"/>
                <w:sz w:val="17"/>
                <w:szCs w:val="17"/>
                <w:color w:val="0000FF"/>
              </w:rPr>
              <w:t>19103</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36.644</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16,385.995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6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in connection with the Issuer's quarterly dividend and accrued to the reporting person on deferred stock units held by the reporting person. These dividend equivalent rights vest on the same schedules as the underlying awards.</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Ryan S. Spengler,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06/04/2026</w:t>
            </w:r>
          </w:p>
        </w:tc>
        <w:tc>
          <w:tcPr>
            <w:tcW w:w="0" w:type="dxa"/>
            <w:vAlign w:val="bottom"/>
          </w:tcPr>
          <w:p>
            <w:pPr>
              <w:spacing w:after="0"/>
              <w:rPr>
                <w:sz w:val="1"/>
                <w:szCs w:val="1"/>
                <w:color w:val="auto"/>
              </w:rPr>
            </w:pPr>
          </w:p>
        </w:tc>
      </w:tr>
      <w:tr>
        <w:trPr>
          <w:trHeight w:val="87"/>
        </w:trPr>
        <w:tc>
          <w:tcPr>
            <w:tcW w:w="114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00" w:type="dxa"/>
            <w:vAlign w:val="bottom"/>
            <w:tcBorders>
              <w:top w:val="single" w:sz="8" w:color="auto"/>
            </w:tcBorders>
            <w:vMerge w:val="restart"/>
          </w:tcPr>
          <w:p>
            <w:pPr>
              <w:spacing w:after="0"/>
              <w:rPr>
                <w:sz w:val="7"/>
                <w:szCs w:val="7"/>
                <w:color w:val="auto"/>
              </w:rPr>
            </w:pP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top w:val="single" w:sz="8" w:color="auto"/>
              <w:bottom w:val="single" w:sz="8" w:color="auto"/>
            </w:tcBorders>
            <w:vMerge w:val="continue"/>
          </w:tcPr>
          <w:p>
            <w:pPr>
              <w:spacing w:after="0"/>
              <w:rPr>
                <w:sz w:val="7"/>
                <w:szCs w:val="7"/>
                <w:color w:val="auto"/>
              </w:rPr>
            </w:pPr>
          </w:p>
        </w:tc>
        <w:tc>
          <w:tcPr>
            <w:tcW w:w="500" w:type="dxa"/>
            <w:vAlign w:val="bottom"/>
            <w:tcBorders>
              <w:top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13983" TargetMode="External"/><Relationship Id="rId14" Type="http://schemas.openxmlformats.org/officeDocument/2006/relationships/hyperlink" Target="http://www.sec.gov/cgi-bin/browse-edgar?action=getcompany&amp;CIK=00015845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2026-06-04T17:18:50Z</dcterms:created>
  <dcterms:modified xsi:type="dcterms:W3CDTF">2026-06-04T17:18:50Z</dcterms:modified>
</cp:coreProperties>
</file>