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ZILLMER JOHN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ARAMARK</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Aramark</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ARMK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973.624</w:t>
            </w:r>
            <w:r>
              <w:rPr>
                <w:rFonts w:ascii="Times New Roman" w:cs="Times New Roman" w:eastAsia="Times New Roman" w:hAnsi="Times New Roman"/>
                <w:sz w:val="22"/>
                <w:szCs w:val="22"/>
                <w:color w:val="008000"/>
                <w:w w:val="96"/>
                <w:vertAlign w:val="superscript"/>
              </w:rPr>
              <w:t>(1)</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260"/>
              <w:spacing w:after="0"/>
              <w:rPr>
                <w:sz w:val="20"/>
                <w:szCs w:val="20"/>
                <w:color w:val="auto"/>
              </w:rPr>
            </w:pPr>
            <w:r>
              <w:rPr>
                <w:rFonts w:ascii="Times New Roman" w:cs="Times New Roman" w:eastAsia="Times New Roman" w:hAnsi="Times New Roman"/>
                <w:sz w:val="17"/>
                <w:szCs w:val="17"/>
                <w:color w:val="0000FF"/>
              </w:rPr>
              <w:t>1,020,873.707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restricted stock units and previously granted performance stock units that were determined to be earned held by the reporting person. These dividend equivalent rights vest on the same schedules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262"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2026-06-04T16:48:51Z</dcterms:created>
  <dcterms:modified xsi:type="dcterms:W3CDTF">2026-06-04T16:48:51Z</dcterms:modified>
</cp:coreProperties>
</file>