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PURSUANT TO SECTION 13 OR 15(d)</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OF THE SECURITIES EXCHANGE ACT OF 1934</w:t>
      </w:r>
    </w:p>
    <w:tbl>
      <w:tblPr>
        <w:tblW w:w="7736" w:type="dxa"/>
        <w:jc w:val="center"/>
        <w:tblInd w:w="0" w:type="dxa"/>
        <w:tblLayout w:type="fixed"/>
        <w:tblCellMar>
          <w:top w:w="28" w:type="dxa"/>
          <w:left w:w="28" w:type="dxa"/>
          <w:bottom w:w="28" w:type="dxa"/>
          <w:right w:w="28" w:type="dxa"/>
        </w:tblCellMar>
      </w:tblPr>
      <w:tblGrid>
        <w:gridCol w:w="598"/>
        <w:gridCol w:w="522"/>
        <w:gridCol w:w="522"/>
        <w:gridCol w:w="522"/>
        <w:gridCol w:w="522"/>
        <w:gridCol w:w="522"/>
        <w:gridCol w:w="831"/>
        <w:gridCol w:w="596"/>
        <w:gridCol w:w="567"/>
        <w:gridCol w:w="742"/>
        <w:gridCol w:w="742"/>
        <w:gridCol w:w="1050"/>
      </w:tblGrid>
      <w:tr>
        <w:trPr/>
        <w:tc>
          <w:tcPr>
            <w:tcW w:w="59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7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August 11, 2026</w:t>
            </w:r>
          </w:p>
        </w:tc>
      </w:tr>
      <w:tr>
        <w:trPr/>
        <w:tc>
          <w:tcPr>
            <w:tcW w:w="7736" w:type="dxa"/>
            <w:gridSpan w:val="12"/>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w:t>
            </w:r>
          </w:p>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tc>
      </w:tr>
      <w:tr>
        <w:trPr/>
        <w:tc>
          <w:tcPr>
            <w:tcW w:w="7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 xml:space="preserve">Aramark </w:t>
            </w:r>
          </w:p>
        </w:tc>
      </w:tr>
      <w:tr>
        <w:trPr/>
        <w:tc>
          <w:tcPr>
            <w:tcW w:w="7736" w:type="dxa"/>
            <w:gridSpan w:val="12"/>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tc>
      </w:tr>
      <w:tr>
        <w:trPr/>
        <w:tc>
          <w:tcPr>
            <w:tcW w:w="32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001-36223</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20-8236097</w:t>
            </w:r>
          </w:p>
        </w:tc>
      </w:tr>
      <w:tr>
        <w:trPr/>
        <w:tc>
          <w:tcPr>
            <w:tcW w:w="32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2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2400 Market Street</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w:t>
            </w:r>
          </w:p>
        </w:tc>
      </w:tr>
      <w:tr>
        <w:trPr/>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Philadelphia,</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08"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(Address of Principal Executive Offices)</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tbl>
      <w:tblPr>
        <w:tblW w:w="4478" w:type="dxa"/>
        <w:jc w:val="center"/>
        <w:tblInd w:w="0" w:type="dxa"/>
        <w:tblLayout w:type="fixed"/>
        <w:tblCellMar>
          <w:top w:w="28" w:type="dxa"/>
          <w:left w:w="28" w:type="dxa"/>
          <w:bottom w:w="28" w:type="dxa"/>
          <w:right w:w="28" w:type="dxa"/>
        </w:tblCellMar>
      </w:tblPr>
      <w:tblGrid>
        <w:gridCol w:w="345"/>
        <w:gridCol w:w="302"/>
        <w:gridCol w:w="302"/>
        <w:gridCol w:w="302"/>
        <w:gridCol w:w="302"/>
        <w:gridCol w:w="302"/>
        <w:gridCol w:w="409"/>
        <w:gridCol w:w="409"/>
        <w:gridCol w:w="409"/>
        <w:gridCol w:w="409"/>
        <w:gridCol w:w="409"/>
        <w:gridCol w:w="578"/>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855" w:type="dxa"/>
            <w:gridSpan w:val="6"/>
            <w:tcBorders/>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(215)</w:t>
            </w:r>
          </w:p>
        </w:tc>
        <w:tc>
          <w:tcPr>
            <w:tcW w:w="2623"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238-3000</w:t>
            </w:r>
          </w:p>
        </w:tc>
      </w:tr>
      <w:tr>
        <w:trPr/>
        <w:tc>
          <w:tcPr>
            <w:tcW w:w="4478" w:type="dxa"/>
            <w:gridSpan w:val="12"/>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r>
        <w:trPr/>
        <w:tc>
          <w:tcPr>
            <w:tcW w:w="4478"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ind w:left="0" w:right="0" w:hanging="108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54" w:type="dxa"/>
        <w:jc w:val="left"/>
        <w:tblInd w:w="0" w:type="dxa"/>
        <w:tblLayout w:type="fixed"/>
        <w:tblCellMar>
          <w:top w:w="28" w:type="dxa"/>
          <w:left w:w="28" w:type="dxa"/>
          <w:bottom w:w="28" w:type="dxa"/>
          <w:right w:w="28" w:type="dxa"/>
        </w:tblCellMar>
      </w:tblPr>
      <w:tblGrid>
        <w:gridCol w:w="534"/>
        <w:gridCol w:w="468"/>
        <w:gridCol w:w="468"/>
        <w:gridCol w:w="710"/>
        <w:gridCol w:w="710"/>
        <w:gridCol w:w="710"/>
        <w:gridCol w:w="564"/>
        <w:gridCol w:w="564"/>
        <w:gridCol w:w="566"/>
        <w:gridCol w:w="1157"/>
        <w:gridCol w:w="1157"/>
        <w:gridCol w:w="1646"/>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6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Common Stock,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hanging="10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440"/>
        <w:jc w:val="left"/>
        <w:rPr/>
      </w:pPr>
      <w:r>
        <w:rPr>
          <w:rFonts w:ascii="Times New Roman;serif" w:hAnsi="Times New Roman;serif"/>
          <w:b/>
          <w:color w:val="000000"/>
          <w:sz w:val="20"/>
        </w:rPr>
        <w:t xml:space="preserve">Item 2.02. </w:t>
      </w:r>
      <w:r>
        <w:rPr>
          <w:color w:val="000000"/>
        </w:rPr>
        <w:t>    </w:t>
      </w:r>
      <w:r>
        <w:rPr>
          <w:rFonts w:ascii="Times New Roman;serif" w:hAnsi="Times New Roman;serif"/>
          <w:b/>
          <w:color w:val="000000"/>
          <w:sz w:val="20"/>
        </w:rPr>
        <w:t>Results of Operations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On August 11, 2026, Aramark (the “Company”) issued a press release announcing the results of the Company’s operations for the quarter ended July 3, 2026. The full text of the press release is furnished as Exhibit 99.1 to this Current Report on Form 8-K and is incorporated herein by reference in this Item 2.02.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information set forth under this Item 2.02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erif" w:hAnsi="Times New Roman;serif"/>
          <w:b/>
          <w:color w:val="000000"/>
          <w:sz w:val="20"/>
        </w:rPr>
        <w:t xml:space="preserve">Item 9.01. </w:t>
      </w:r>
      <w:r>
        <w:rPr>
          <w:color w:val="000000"/>
        </w:rPr>
        <w:t>    </w:t>
      </w:r>
      <w:r>
        <w:rPr>
          <w:rFonts w:ascii="Times New Roman;serif" w:hAnsi="Times New Roman;serif"/>
          <w:b/>
          <w:color w:val="000000"/>
          <w:sz w:val="20"/>
        </w:rPr>
        <w:t>Financial Statements and Exhibits</w:t>
      </w:r>
    </w:p>
    <w:tbl>
      <w:tblPr>
        <w:tblW w:w="1201" w:type="dxa"/>
        <w:jc w:val="left"/>
        <w:tblInd w:w="0" w:type="dxa"/>
        <w:tblLayout w:type="fixed"/>
        <w:tblCellMar>
          <w:top w:w="28" w:type="dxa"/>
          <w:left w:w="28" w:type="dxa"/>
          <w:bottom w:w="28" w:type="dxa"/>
          <w:right w:w="28" w:type="dxa"/>
        </w:tblCellMar>
      </w:tblPr>
      <w:tblGrid>
        <w:gridCol w:w="125"/>
        <w:gridCol w:w="110"/>
        <w:gridCol w:w="110"/>
        <w:gridCol w:w="250"/>
        <w:gridCol w:w="250"/>
        <w:gridCol w:w="35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9957"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2486"/>
        <w:gridCol w:w="2486"/>
        <w:gridCol w:w="3518"/>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armkq3fy2026.htm">
              <w:r>
                <w:rPr>
                  <w:rStyle w:val="InternetLink"/>
                  <w:rFonts w:ascii="Times New Roman;serif" w:hAnsi="Times New Roman;serif"/>
                  <w:b w:val="false"/>
                  <w:color w:val="0000FF"/>
                  <w:sz w:val="20"/>
                  <w:u w:val="single"/>
                </w:rPr>
                <w:t>Exhibit 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armkq3fy2026.htm">
              <w:r>
                <w:rPr>
                  <w:rStyle w:val="InternetLink"/>
                  <w:rFonts w:ascii="Times New Roman;serif" w:hAnsi="Times New Roman;serif"/>
                  <w:b w:val="false"/>
                  <w:color w:val="000080"/>
                  <w:sz w:val="20"/>
                  <w:u w:val="single"/>
                </w:rPr>
                <w:t xml:space="preserve">Press release of Aramark, dated </w:t>
              </w:r>
            </w:hyperlink>
            <w:hyperlink w:anchor="ex991armkq3fy2026.htm">
              <w:r>
                <w:rPr>
                  <w:rStyle w:val="InternetLink"/>
                  <w:rFonts w:ascii="Times New Roman;serif" w:hAnsi="Times New Roman;serif"/>
                  <w:b w:val="false"/>
                  <w:color w:val="000080"/>
                  <w:sz w:val="20"/>
                  <w:u w:val="single"/>
                </w:rPr>
                <w:t>August</w:t>
              </w:r>
            </w:hyperlink>
            <w:hyperlink w:anchor="ex991armkq3fy2026.htm">
              <w:r>
                <w:rPr>
                  <w:rStyle w:val="InternetLink"/>
                  <w:rFonts w:ascii="Times New Roman;serif" w:hAnsi="Times New Roman;serif"/>
                  <w:b w:val="false"/>
                  <w:color w:val="000080"/>
                  <w:sz w:val="20"/>
                  <w:u w:val="single"/>
                </w:rPr>
                <w:t xml:space="preserve"> 11</w:t>
              </w:r>
            </w:hyperlink>
            <w:hyperlink w:anchor="ex991armkq3fy2026.htm">
              <w:r>
                <w:rPr>
                  <w:rStyle w:val="InternetLink"/>
                  <w:rFonts w:ascii="Times New Roman;serif" w:hAnsi="Times New Roman;serif"/>
                  <w:b w:val="false"/>
                  <w:color w:val="000080"/>
                  <w:sz w:val="20"/>
                  <w:u w:val="single"/>
                </w:rPr>
                <w:t xml:space="preserve">, 2026, announcing results for the quarter ended </w:t>
              </w:r>
            </w:hyperlink>
            <w:hyperlink w:anchor="ex991armkq3fy2026.htm">
              <w:r>
                <w:rPr>
                  <w:rStyle w:val="InternetLink"/>
                  <w:rFonts w:ascii="Times New Roman;serif" w:hAnsi="Times New Roman;serif"/>
                  <w:b w:val="false"/>
                  <w:color w:val="000080"/>
                  <w:sz w:val="20"/>
                  <w:u w:val="single"/>
                </w:rPr>
                <w:t>July 3</w:t>
              </w:r>
            </w:hyperlink>
            <w:hyperlink w:anchor="ex991armkq3fy2026.htm">
              <w:r>
                <w:rPr>
                  <w:rStyle w:val="InternetLink"/>
                  <w:rFonts w:ascii="Times New Roman;serif" w:hAnsi="Times New Roman;serif"/>
                  <w:b w:val="false"/>
                  <w:color w:val="000080"/>
                  <w:sz w:val="20"/>
                  <w:u w:val="single"/>
                </w:rPr>
                <w:t>,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349" w:type="dxa"/>
        <w:jc w:val="center"/>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209"/>
        <w:gridCol w:w="209"/>
        <w:gridCol w:w="211"/>
        <w:gridCol w:w="693"/>
        <w:gridCol w:w="693"/>
        <w:gridCol w:w="9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Aramark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TARANGELO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TARANGELO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EXHIBIT INDEX</w:t>
      </w:r>
    </w:p>
    <w:tbl>
      <w:tblPr>
        <w:tblW w:w="9958" w:type="dxa"/>
        <w:jc w:val="center"/>
        <w:tblInd w:w="0" w:type="dxa"/>
        <w:tblLayout w:type="fixed"/>
        <w:tblCellMar>
          <w:top w:w="28" w:type="dxa"/>
          <w:left w:w="28" w:type="dxa"/>
          <w:bottom w:w="28" w:type="dxa"/>
          <w:right w:w="28" w:type="dxa"/>
        </w:tblCellMar>
      </w:tblPr>
      <w:tblGrid>
        <w:gridCol w:w="412"/>
        <w:gridCol w:w="363"/>
        <w:gridCol w:w="366"/>
        <w:gridCol w:w="109"/>
        <w:gridCol w:w="109"/>
        <w:gridCol w:w="109"/>
        <w:gridCol w:w="2486"/>
        <w:gridCol w:w="2486"/>
        <w:gridCol w:w="3518"/>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armkq3fy2026.htm">
              <w:r>
                <w:rPr>
                  <w:rStyle w:val="InternetLink"/>
                  <w:rFonts w:ascii="Times New Roman;serif" w:hAnsi="Times New Roman;serif"/>
                  <w:b w:val="false"/>
                  <w:color w:val="0000FF"/>
                  <w:sz w:val="20"/>
                  <w:u w:val="single"/>
                </w:rPr>
                <w:t>Exhibit 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armkq3fy2026.htm">
              <w:r>
                <w:rPr>
                  <w:rStyle w:val="InternetLink"/>
                  <w:rFonts w:ascii="Times New Roman;serif" w:hAnsi="Times New Roman;serif"/>
                  <w:b w:val="false"/>
                  <w:color w:val="000080"/>
                  <w:sz w:val="20"/>
                  <w:u w:val="single"/>
                </w:rPr>
                <w:t xml:space="preserve">Press release of Aramark, dated </w:t>
              </w:r>
            </w:hyperlink>
            <w:hyperlink w:anchor="ex991armkq3fy2026.htm">
              <w:r>
                <w:rPr>
                  <w:rStyle w:val="InternetLink"/>
                  <w:rFonts w:ascii="Times New Roman;serif" w:hAnsi="Times New Roman;serif"/>
                  <w:b w:val="false"/>
                  <w:color w:val="000080"/>
                  <w:sz w:val="20"/>
                  <w:u w:val="single"/>
                </w:rPr>
                <w:t>August 11</w:t>
              </w:r>
            </w:hyperlink>
            <w:hyperlink w:anchor="ex991armkq3fy2026.htm">
              <w:r>
                <w:rPr>
                  <w:rStyle w:val="InternetLink"/>
                  <w:rFonts w:ascii="Times New Roman;serif" w:hAnsi="Times New Roman;serif"/>
                  <w:b w:val="false"/>
                  <w:color w:val="000080"/>
                  <w:sz w:val="20"/>
                  <w:u w:val="single"/>
                </w:rPr>
                <w:t xml:space="preserve">, 2026, announcing results for the quarter ended </w:t>
              </w:r>
            </w:hyperlink>
            <w:hyperlink w:anchor="ex991armkq3fy2026.htm">
              <w:r>
                <w:rPr>
                  <w:rStyle w:val="InternetLink"/>
                  <w:rFonts w:ascii="Times New Roman;serif" w:hAnsi="Times New Roman;serif"/>
                  <w:b w:val="false"/>
                  <w:color w:val="000080"/>
                  <w:sz w:val="20"/>
                  <w:u w:val="single"/>
                </w:rPr>
                <w:t>July</w:t>
              </w:r>
            </w:hyperlink>
            <w:hyperlink w:anchor="ex991armkq3fy2026.htm">
              <w:r>
                <w:rPr>
                  <w:rStyle w:val="InternetLink"/>
                  <w:rFonts w:ascii="Times New Roman;serif" w:hAnsi="Times New Roman;serif"/>
                  <w:b w:val="false"/>
                  <w:color w:val="000080"/>
                  <w:sz w:val="20"/>
                  <w:u w:val="single"/>
                </w:rPr>
                <w:t xml:space="preserve"> 3, 2026.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540"/>
        <w:jc w:val="center"/>
        <w:rPr/>
      </w:pPr>
      <w:r>
        <w:rPr/>
        <w:drawing>
          <wp:inline distT="0" distB="0" distL="0" distR="0">
            <wp:extent cx="4591050" cy="1162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591050" cy="1162050"/>
                    </a:xfrm>
                    <a:prstGeom prst="rect">
                      <a:avLst/>
                    </a:prstGeom>
                  </pic:spPr>
                </pic:pic>
              </a:graphicData>
            </a:graphic>
          </wp:inline>
        </w:drawing>
      </w:r>
    </w:p>
    <w:tbl>
      <w:tblPr>
        <w:tblW w:w="7141" w:type="dxa"/>
        <w:jc w:val="center"/>
        <w:tblInd w:w="0" w:type="dxa"/>
        <w:tblLayout w:type="fixed"/>
        <w:tblCellMar>
          <w:top w:w="28" w:type="dxa"/>
          <w:left w:w="28" w:type="dxa"/>
          <w:bottom w:w="28" w:type="dxa"/>
          <w:right w:w="28" w:type="dxa"/>
        </w:tblCellMar>
      </w:tblPr>
      <w:tblGrid>
        <w:gridCol w:w="815"/>
        <w:gridCol w:w="716"/>
        <w:gridCol w:w="718"/>
        <w:gridCol w:w="815"/>
        <w:gridCol w:w="815"/>
        <w:gridCol w:w="816"/>
        <w:gridCol w:w="716"/>
        <w:gridCol w:w="716"/>
        <w:gridCol w:w="101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For Immediate Release</w:t>
            </w:r>
          </w:p>
        </w:tc>
        <w:tc>
          <w:tcPr>
            <w:tcW w:w="244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18"/>
              </w:rPr>
            </w:pPr>
            <w:r>
              <w:rPr>
                <w:rFonts w:ascii="Arial;sans-serif" w:hAnsi="Arial;sans-serif"/>
                <w:b/>
                <w:color w:val="000000"/>
                <w:sz w:val="18"/>
              </w:rPr>
              <w:t>Inquiries:</w:t>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Felise Glantz Kissell</w:t>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(215) 409-7287</w:t>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Kissell-Felise@aramark.com</w:t>
            </w:r>
          </w:p>
        </w:tc>
        <w:tc>
          <w:tcPr>
            <w:tcW w:w="2446"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Gene Cleary</w:t>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(215) 409-7945</w:t>
            </w:r>
          </w:p>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Cleary-Gene@aramark.com</w:t>
            </w:r>
          </w:p>
        </w:tc>
      </w:tr>
    </w:tbl>
    <w:p>
      <w:pPr>
        <w:pStyle w:val="TextBody"/>
        <w:bidi w:val="0"/>
        <w:spacing w:lineRule="auto" w:line="259" w:before="260" w:after="300"/>
        <w:jc w:val="center"/>
        <w:rPr>
          <w:rFonts w:ascii="Arial;sans-serif" w:hAnsi="Arial;sans-serif"/>
          <w:b/>
          <w:color w:val="000000"/>
          <w:sz w:val="28"/>
        </w:rPr>
      </w:pPr>
      <w:r>
        <w:rPr>
          <w:rFonts w:ascii="Arial;sans-serif" w:hAnsi="Arial;sans-serif"/>
          <w:b/>
          <w:color w:val="000000"/>
          <w:sz w:val="28"/>
        </w:rPr>
        <w:t>Aramark Reports Third Quarter Earnings</w:t>
      </w:r>
    </w:p>
    <w:p>
      <w:pPr>
        <w:pStyle w:val="TextBody"/>
        <w:bidi w:val="0"/>
        <w:spacing w:lineRule="auto" w:line="259" w:before="100" w:after="240"/>
        <w:ind w:left="0" w:right="0" w:hanging="450"/>
        <w:jc w:val="center"/>
        <w:rPr>
          <w:rFonts w:ascii="Arial;sans-serif" w:hAnsi="Arial;sans-serif"/>
          <w:b/>
          <w:color w:val="000000"/>
          <w:sz w:val="24"/>
          <w:u w:val="single"/>
        </w:rPr>
      </w:pPr>
      <w:r>
        <w:rPr>
          <w:rFonts w:ascii="Arial;sans-serif" w:hAnsi="Arial;sans-serif"/>
          <w:b/>
          <w:color w:val="000000"/>
          <w:sz w:val="24"/>
          <w:u w:val="single"/>
        </w:rPr>
        <w:t>YEAR-OVER-YEAR SUMMARY</w:t>
      </w:r>
    </w:p>
    <w:p>
      <w:pPr>
        <w:pStyle w:val="TextBody"/>
        <w:bidi w:val="0"/>
        <w:spacing w:lineRule="auto" w:line="259" w:before="260" w:after="300"/>
        <w:ind w:left="0" w:right="0" w:hanging="450"/>
        <w:jc w:val="both"/>
        <w:rPr>
          <w:rFonts w:ascii="Arial;sans-serif" w:hAnsi="Arial;sans-serif"/>
          <w:b/>
          <w:i/>
          <w:color w:val="000000"/>
          <w:sz w:val="16"/>
        </w:rPr>
      </w:pPr>
      <w:r>
        <w:rPr>
          <w:rFonts w:ascii="Arial;sans-serif" w:hAnsi="Arial;sans-serif"/>
          <w:b/>
          <w:i/>
          <w:color w:val="000000"/>
          <w:sz w:val="16"/>
        </w:rPr>
        <w:t>Note: As previously disclosed, the calendar shift resulting from the 53rd week in fiscal 2025 affects quarterly comparisons in fiscal 2026</w:t>
      </w:r>
    </w:p>
    <w:p>
      <w:pPr>
        <w:pStyle w:val="TextBody"/>
        <w:bidi w:val="0"/>
        <w:spacing w:lineRule="auto" w:line="259" w:before="0" w:after="80"/>
        <w:ind w:left="0" w:right="0" w:hanging="180"/>
        <w:jc w:val="both"/>
        <w:rPr/>
      </w:pPr>
      <w:r>
        <w:rPr>
          <w:color w:val="000000"/>
        </w:rPr>
        <w:t>•</w:t>
      </w:r>
      <w:r>
        <w:rPr>
          <w:rFonts w:ascii="Arial;sans-serif" w:hAnsi="Arial;sans-serif"/>
          <w:b/>
          <w:color w:val="000000"/>
          <w:sz w:val="24"/>
        </w:rPr>
        <w:t>Revenue +9%</w:t>
      </w:r>
      <w:r>
        <w:rPr>
          <w:rFonts w:ascii="Arial;sans-serif" w:hAnsi="Arial;sans-serif"/>
          <w:b/>
          <w:color w:val="000000"/>
          <w:sz w:val="22"/>
        </w:rPr>
        <w:t xml:space="preserve">; </w:t>
      </w:r>
      <w:r>
        <w:rPr>
          <w:rFonts w:ascii="Arial;sans-serif" w:hAnsi="Arial;sans-serif"/>
          <w:b/>
          <w:color w:val="000000"/>
          <w:sz w:val="24"/>
        </w:rPr>
        <w:t>Organic Revenue</w:t>
      </w:r>
      <w:r>
        <w:rPr>
          <w:color w:val="000000"/>
        </w:rPr>
        <w:t xml:space="preserve"> </w:t>
      </w:r>
      <w:r>
        <w:rPr>
          <w:rFonts w:ascii="Arial;sans-serif" w:hAnsi="Arial;sans-serif"/>
          <w:b/>
          <w:color w:val="000000"/>
          <w:sz w:val="24"/>
        </w:rPr>
        <w:t>+9%</w:t>
      </w:r>
    </w:p>
    <w:p>
      <w:pPr>
        <w:pStyle w:val="TextBody"/>
        <w:bidi w:val="0"/>
        <w:spacing w:lineRule="auto" w:line="268" w:before="0" w:after="80"/>
        <w:ind w:left="0" w:right="0" w:hanging="180"/>
        <w:jc w:val="both"/>
        <w:rPr/>
      </w:pPr>
      <w:r>
        <w:rPr>
          <w:color w:val="000000"/>
        </w:rPr>
        <w:t>◦</w:t>
      </w:r>
      <w:r>
        <w:rPr>
          <w:rFonts w:ascii="Arial;sans-serif" w:hAnsi="Arial;sans-serif"/>
          <w:b w:val="false"/>
          <w:color w:val="000000"/>
          <w:sz w:val="22"/>
        </w:rPr>
        <w:t xml:space="preserve">Performance driven by broad-based net new business and base business momentum; Revenue growth would have increased approximately +11% without the calendar shift </w:t>
      </w:r>
    </w:p>
    <w:p>
      <w:pPr>
        <w:pStyle w:val="TextBody"/>
        <w:bidi w:val="0"/>
        <w:spacing w:lineRule="auto" w:line="268" w:before="0" w:after="240"/>
        <w:ind w:left="0" w:right="0" w:hanging="180"/>
        <w:jc w:val="both"/>
        <w:rPr/>
      </w:pPr>
      <w:r>
        <w:rPr>
          <w:color w:val="000000"/>
        </w:rPr>
        <w:t>◦</w:t>
      </w:r>
      <w:r>
        <w:rPr>
          <w:rFonts w:ascii="Arial;sans-serif" w:hAnsi="Arial;sans-serif"/>
          <w:b w:val="false"/>
          <w:color w:val="000000"/>
          <w:sz w:val="22"/>
        </w:rPr>
        <w:t xml:space="preserve">New client wins totaling more than $1.6 billion fiscal year to date, +51% higher than the comparable prior year period; Industry-leading client retention at record levels of approximately 98% </w:t>
      </w:r>
    </w:p>
    <w:p>
      <w:pPr>
        <w:pStyle w:val="TextBody"/>
        <w:bidi w:val="0"/>
        <w:spacing w:lineRule="auto" w:line="259" w:before="0" w:after="80"/>
        <w:ind w:left="0" w:right="0" w:hanging="180"/>
        <w:jc w:val="both"/>
        <w:rPr/>
      </w:pPr>
      <w:r>
        <w:rPr>
          <w:color w:val="000000"/>
        </w:rPr>
        <w:t>•</w:t>
      </w:r>
      <w:r>
        <w:rPr>
          <w:rFonts w:ascii="Arial;sans-serif" w:hAnsi="Arial;sans-serif"/>
          <w:b/>
          <w:color w:val="000000"/>
          <w:sz w:val="24"/>
        </w:rPr>
        <w:t>Operating Income +18%; Adjusted Operating Income (AOI) +13%</w:t>
      </w:r>
      <w:r>
        <w:rPr>
          <w:rFonts w:ascii="Arial;sans-serif" w:hAnsi="Arial;sans-serif"/>
          <w:b/>
          <w:color w:val="000000"/>
          <w:sz w:val="16"/>
        </w:rPr>
        <w:t>1</w:t>
      </w:r>
    </w:p>
    <w:p>
      <w:pPr>
        <w:pStyle w:val="TextBody"/>
        <w:bidi w:val="0"/>
        <w:spacing w:lineRule="auto" w:line="268" w:before="0" w:after="80"/>
        <w:ind w:left="0" w:right="0" w:hanging="180"/>
        <w:jc w:val="both"/>
        <w:rPr/>
      </w:pPr>
      <w:r>
        <w:rPr>
          <w:color w:val="000000"/>
        </w:rPr>
        <w:t>◦</w:t>
      </w:r>
      <w:r>
        <w:rPr>
          <w:rFonts w:ascii="Arial;sans-serif" w:hAnsi="Arial;sans-serif"/>
          <w:b w:val="false"/>
          <w:color w:val="000000"/>
          <w:sz w:val="22"/>
        </w:rPr>
        <w:t>Operating Income and AOI growth would have increased approximately +29% and +21%</w:t>
      </w:r>
      <w:r>
        <w:rPr>
          <w:rFonts w:ascii="Arial;sans-serif" w:hAnsi="Arial;sans-serif"/>
          <w:b w:val="false"/>
          <w:color w:val="000000"/>
          <w:sz w:val="16"/>
        </w:rPr>
        <w:t>1</w:t>
      </w:r>
      <w:r>
        <w:rPr>
          <w:rFonts w:ascii="Arial;sans-serif" w:hAnsi="Arial;sans-serif"/>
          <w:b w:val="false"/>
          <w:color w:val="000000"/>
          <w:sz w:val="22"/>
        </w:rPr>
        <w:t xml:space="preserve">, respectively, without the calendar shift </w:t>
      </w:r>
    </w:p>
    <w:p>
      <w:pPr>
        <w:pStyle w:val="TextBody"/>
        <w:bidi w:val="0"/>
        <w:spacing w:lineRule="auto" w:line="268" w:before="0" w:after="240"/>
        <w:ind w:left="0" w:right="0" w:hanging="180"/>
        <w:jc w:val="both"/>
        <w:rPr/>
      </w:pPr>
      <w:r>
        <w:rPr>
          <w:color w:val="000000"/>
        </w:rPr>
        <w:t>◦</w:t>
      </w:r>
      <w:r>
        <w:rPr>
          <w:rFonts w:ascii="Arial;sans-serif" w:hAnsi="Arial;sans-serif"/>
          <w:b w:val="false"/>
          <w:color w:val="000000"/>
          <w:sz w:val="22"/>
        </w:rPr>
        <w:t xml:space="preserve">Profitability growth led by strong revenue across the organization, supply chain efficiencies, and productivity gains from effective cost management </w:t>
      </w:r>
    </w:p>
    <w:p>
      <w:pPr>
        <w:pStyle w:val="TextBody"/>
        <w:bidi w:val="0"/>
        <w:spacing w:lineRule="auto" w:line="259" w:before="0" w:after="80"/>
        <w:ind w:left="0" w:right="0" w:hanging="180"/>
        <w:jc w:val="both"/>
        <w:rPr/>
      </w:pPr>
      <w:r>
        <w:rPr>
          <w:color w:val="000000"/>
        </w:rPr>
        <w:t>•</w:t>
      </w:r>
      <w:r>
        <w:rPr>
          <w:rFonts w:ascii="Arial;sans-serif" w:hAnsi="Arial;sans-serif"/>
          <w:b/>
          <w:color w:val="000000"/>
          <w:sz w:val="24"/>
        </w:rPr>
        <w:t>GAAP EPS +34% to $0.36; Adjusted EPS +29%</w:t>
      </w:r>
      <w:r>
        <w:rPr>
          <w:rFonts w:ascii="Arial;sans-serif" w:hAnsi="Arial;sans-serif"/>
          <w:b/>
          <w:color w:val="000000"/>
          <w:sz w:val="16"/>
        </w:rPr>
        <w:t>1</w:t>
      </w:r>
      <w:r>
        <w:rPr>
          <w:color w:val="000000"/>
        </w:rPr>
        <w:t xml:space="preserve"> </w:t>
      </w:r>
      <w:r>
        <w:rPr>
          <w:rFonts w:ascii="Arial;sans-serif" w:hAnsi="Arial;sans-serif"/>
          <w:b/>
          <w:color w:val="000000"/>
          <w:sz w:val="24"/>
        </w:rPr>
        <w:t xml:space="preserve">to $0.52 </w:t>
      </w:r>
    </w:p>
    <w:p>
      <w:pPr>
        <w:pStyle w:val="TextBody"/>
        <w:bidi w:val="0"/>
        <w:spacing w:lineRule="auto" w:line="256" w:before="0" w:after="80"/>
        <w:ind w:left="0" w:right="0" w:hanging="180"/>
        <w:jc w:val="both"/>
        <w:rPr/>
      </w:pPr>
      <w:r>
        <w:rPr>
          <w:color w:val="000000"/>
        </w:rPr>
        <w:t>◦</w:t>
      </w:r>
      <w:r>
        <w:rPr>
          <w:rFonts w:ascii="Arial;sans-serif" w:hAnsi="Arial;sans-serif"/>
          <w:b w:val="false"/>
          <w:color w:val="000000"/>
          <w:sz w:val="22"/>
        </w:rPr>
        <w:t>GAAP EPS and Adjusted EPS growth would have increased approximately +55% and +43%</w:t>
      </w:r>
      <w:r>
        <w:rPr>
          <w:rFonts w:ascii="Arial;sans-serif" w:hAnsi="Arial;sans-serif"/>
          <w:b w:val="false"/>
          <w:color w:val="000000"/>
          <w:sz w:val="16"/>
        </w:rPr>
        <w:t>1</w:t>
      </w:r>
      <w:r>
        <w:rPr>
          <w:rFonts w:ascii="Arial;sans-serif" w:hAnsi="Arial;sans-serif"/>
          <w:b w:val="false"/>
          <w:color w:val="000000"/>
          <w:sz w:val="22"/>
        </w:rPr>
        <w:t>, respectively, without the calendar shift</w:t>
      </w:r>
    </w:p>
    <w:p>
      <w:pPr>
        <w:pStyle w:val="TextBody"/>
        <w:bidi w:val="0"/>
        <w:spacing w:lineRule="auto" w:line="256" w:before="0" w:after="240"/>
        <w:ind w:left="0" w:right="0" w:hanging="180"/>
        <w:jc w:val="both"/>
        <w:rPr/>
      </w:pPr>
      <w:r>
        <w:rPr>
          <w:color w:val="000000"/>
        </w:rPr>
        <w:t>◦</w:t>
      </w:r>
      <w:r>
        <w:rPr>
          <w:rFonts w:ascii="Arial;sans-serif" w:hAnsi="Arial;sans-serif"/>
          <w:b w:val="false"/>
          <w:color w:val="000000"/>
          <w:sz w:val="22"/>
        </w:rPr>
        <w:t xml:space="preserve">Results reflected successful execution of the Company's growth strategies </w:t>
      </w:r>
    </w:p>
    <w:p>
      <w:pPr>
        <w:pStyle w:val="TextBody"/>
        <w:bidi w:val="0"/>
        <w:spacing w:lineRule="auto" w:line="259" w:before="0" w:after="80"/>
        <w:ind w:left="0" w:right="0" w:hanging="180"/>
        <w:jc w:val="both"/>
        <w:rPr/>
      </w:pPr>
      <w:r>
        <w:rPr>
          <w:color w:val="000000"/>
        </w:rPr>
        <w:t>•</w:t>
      </w:r>
      <w:r>
        <w:rPr>
          <w:rFonts w:ascii="Arial;sans-serif" w:hAnsi="Arial;sans-serif"/>
          <w:b/>
          <w:color w:val="000000"/>
          <w:sz w:val="24"/>
        </w:rPr>
        <w:t>Strong Earnings and Cash Generation Further Enhanced Balance Sheet</w:t>
      </w:r>
    </w:p>
    <w:p>
      <w:pPr>
        <w:pStyle w:val="TextBody"/>
        <w:bidi w:val="0"/>
        <w:spacing w:lineRule="auto" w:line="259" w:before="0" w:after="80"/>
        <w:ind w:left="0" w:right="0" w:hanging="180"/>
        <w:jc w:val="both"/>
        <w:rPr/>
      </w:pPr>
      <w:r>
        <w:rPr>
          <w:color w:val="000000"/>
        </w:rPr>
        <w:t>◦</w:t>
      </w:r>
      <w:r>
        <w:rPr>
          <w:rFonts w:ascii="Arial;sans-serif" w:hAnsi="Arial;sans-serif"/>
          <w:b w:val="false"/>
          <w:color w:val="000000"/>
          <w:sz w:val="22"/>
        </w:rPr>
        <w:t xml:space="preserve">Net Cash Provided by Operating Activities +$41 million; Free Cash Flow +$42 million </w:t>
      </w:r>
    </w:p>
    <w:p>
      <w:pPr>
        <w:pStyle w:val="TextBody"/>
        <w:bidi w:val="0"/>
        <w:spacing w:lineRule="auto" w:line="259" w:before="0" w:after="240"/>
        <w:ind w:left="0" w:right="0" w:hanging="180"/>
        <w:jc w:val="both"/>
        <w:rPr/>
      </w:pPr>
      <w:r>
        <w:rPr>
          <w:color w:val="000000"/>
        </w:rPr>
        <w:t>◦</w:t>
      </w:r>
      <w:r>
        <w:rPr>
          <w:rFonts w:ascii="Arial;sans-serif" w:hAnsi="Arial;sans-serif"/>
          <w:b w:val="false"/>
          <w:color w:val="000000"/>
          <w:sz w:val="22"/>
        </w:rPr>
        <w:t>Over $1.4 billion of cash availability at quarter-end; Proactively repaid $100 million of 2028 Term Loans following quarter-end</w:t>
      </w:r>
    </w:p>
    <w:p>
      <w:pPr>
        <w:pStyle w:val="TextBody"/>
        <w:bidi w:val="0"/>
        <w:spacing w:lineRule="auto" w:line="259" w:before="0" w:after="80"/>
        <w:ind w:left="0" w:right="0" w:hanging="180"/>
        <w:jc w:val="both"/>
        <w:rPr/>
      </w:pPr>
      <w:r>
        <w:rPr>
          <w:color w:val="000000"/>
        </w:rPr>
        <w:t>•</w:t>
      </w:r>
      <w:r>
        <w:rPr>
          <w:rFonts w:ascii="Arial;sans-serif" w:hAnsi="Arial;sans-serif"/>
          <w:b/>
          <w:color w:val="000000"/>
          <w:sz w:val="24"/>
        </w:rPr>
        <w:t>Launched Operations with Top Global Hyperscaler; Continued Expansion of Aramark Nexus</w:t>
      </w:r>
      <w:r>
        <w:rPr>
          <w:color w:val="333333"/>
          <w:shd w:fill="FFFFFF" w:val="clear"/>
        </w:rPr>
        <w:t>™</w:t>
      </w:r>
    </w:p>
    <w:p>
      <w:pPr>
        <w:pStyle w:val="TextBody"/>
        <w:bidi w:val="0"/>
        <w:spacing w:lineRule="auto" w:line="276" w:before="0" w:after="80"/>
        <w:ind w:left="0" w:right="0" w:hanging="180"/>
        <w:jc w:val="both"/>
        <w:rPr/>
      </w:pPr>
      <w:r>
        <w:rPr>
          <w:color w:val="000000"/>
        </w:rPr>
        <w:t>◦</w:t>
      </w:r>
      <w:r>
        <w:rPr>
          <w:rFonts w:ascii="Arial;sans-serif" w:hAnsi="Arial;sans-serif"/>
          <w:b w:val="false"/>
          <w:color w:val="000000"/>
          <w:sz w:val="22"/>
        </w:rPr>
        <w:t>Began providing premium hospitality services at first Texas-based AI data center site with hyperscaler; Mobilization underway at second location and the Company anticipates additional sites to be awarded</w:t>
      </w:r>
    </w:p>
    <w:p>
      <w:pPr>
        <w:pStyle w:val="TextBody"/>
        <w:bidi w:val="0"/>
        <w:spacing w:lineRule="auto" w:line="256" w:before="0" w:after="0"/>
        <w:ind w:left="0" w:right="0" w:hanging="180"/>
        <w:jc w:val="both"/>
        <w:rPr/>
      </w:pPr>
      <w:r>
        <w:rPr>
          <w:color w:val="000000"/>
        </w:rPr>
        <w:t>◦</w:t>
      </w:r>
      <w:r>
        <w:rPr>
          <w:rFonts w:ascii="Arial;sans-serif" w:hAnsi="Arial;sans-serif"/>
          <w:b w:val="false"/>
          <w:color w:val="000000"/>
          <w:sz w:val="22"/>
        </w:rPr>
        <w:t>Recently announced a multi-year engagement with a leading AI data center colocation provider to serve workforce communities across multiple locations; Extensive demand for Aramark Nexus</w:t>
      </w:r>
      <w:r>
        <w:rPr>
          <w:color w:val="333333"/>
          <w:shd w:fill="FFFFFF" w:val="clear"/>
        </w:rPr>
        <w:t>™</w:t>
      </w:r>
      <w:r>
        <w:rPr>
          <w:color w:val="000000"/>
        </w:rPr>
        <w:t xml:space="preserve"> </w:t>
      </w:r>
      <w:r>
        <w:rPr>
          <w:rFonts w:ascii="Arial;sans-serif" w:hAnsi="Arial;sans-serif"/>
          <w:b w:val="false"/>
          <w:color w:val="000000"/>
          <w:sz w:val="22"/>
        </w:rPr>
        <w:t>capabilities</w:t>
      </w:r>
    </w:p>
    <w:p>
      <w:pPr>
        <w:pStyle w:val="TextBody"/>
        <w:bidi w:val="0"/>
        <w:spacing w:before="0" w:after="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59" w:before="360" w:after="40"/>
        <w:jc w:val="both"/>
        <w:rPr/>
      </w:pPr>
      <w:r>
        <w:rPr>
          <w:rFonts w:ascii="Arial;sans-serif" w:hAnsi="Arial;sans-serif"/>
          <w:b w:val="false"/>
          <w:i/>
          <w:color w:val="000000"/>
          <w:sz w:val="10"/>
        </w:rPr>
        <w:t xml:space="preserve">1 </w:t>
      </w:r>
      <w:r>
        <w:rPr>
          <w:rFonts w:ascii="Arial;sans-serif" w:hAnsi="Arial;sans-serif"/>
          <w:b w:val="false"/>
          <w:i/>
          <w:color w:val="000000"/>
          <w:sz w:val="16"/>
        </w:rPr>
        <w:t>On a constant currency basis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v:textbox>
                <w10:wrap type="none"/>
              </v:rect>
            </w:pict>
          </mc:Fallback>
        </mc:AlternateContent>
      </w:r>
    </w:p>
    <w:p>
      <w:pPr>
        <w:pStyle w:val="TextBody"/>
        <w:bidi w:val="0"/>
        <w:spacing w:lineRule="auto" w:line="259" w:before="0" w:after="340"/>
        <w:jc w:val="both"/>
        <w:rPr/>
      </w:pPr>
      <w:r>
        <w:rPr>
          <w:rFonts w:ascii="Arial;sans-serif" w:hAnsi="Arial;sans-serif"/>
          <w:b/>
          <w:color w:val="000000"/>
          <w:sz w:val="24"/>
        </w:rPr>
        <w:t xml:space="preserve">Philadelphia, PA, August 11, 2026 - </w:t>
      </w:r>
      <w:r>
        <w:rPr>
          <w:rFonts w:ascii="Arial;sans-serif" w:hAnsi="Arial;sans-serif"/>
          <w:b w:val="false"/>
          <w:color w:val="000000"/>
          <w:sz w:val="24"/>
        </w:rPr>
        <w:t>Aramark (NYSE: ARMK) today reported third quarter fiscal 2026 results.</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"The Company delivered another impressive quarter of strong top and bottom-line results,” said John Zillmer, Aramark’s Chief Executive Officer. “We continue to build on the momentum across the portfolio, including industry-leading client retention, broad-based revenue growth in the U.S. and International, record levels of new client wins, and the continued expansion of Aramark Nexus. Given the strong business trends across sectors and geographies, we’ve once again raised our Organic Revenue growth expectations for fiscal 2026. Our performance is a testament to the dedication of our teams, whose unwavering commitment to serving our clients, delivering exceptional hospitality experiences, and performing at a high level every day has been instrumental in our success.”</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4"/>
          <w:u w:val="single"/>
        </w:rPr>
      </w:pPr>
      <w:r>
        <w:rPr>
          <w:rFonts w:ascii="Arial;sans-serif" w:hAnsi="Arial;sans-serif"/>
          <w:b/>
          <w:color w:val="000000"/>
          <w:sz w:val="24"/>
          <w:u w:val="single"/>
        </w:rPr>
        <w:t>THIRD QUARTER RESULTS</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In the third quarter, consolidated revenue increased 9% year-over-year to $5.1 billion. The favorable effect of currency translation increased revenue by approximately $33 million. Organic Revenue, which excludes the effect of currency translation, was also higher by 9% compared to the same year-ago period. Performance was driven by broad-based net new business and base business momentum across sectors and geographies. The calendar shift from the 53rd week in the prior year reduced Revenue and Organic Revenue growth by an estimated 2%, primarily occurring in the Education sector within the FSS United States segment. Revenue growth in the quarter would have increased approximately 11% without the calendar shift.</w:t>
      </w:r>
    </w:p>
    <w:tbl>
      <w:tblPr>
        <w:tblW w:w="6221" w:type="dxa"/>
        <w:jc w:val="center"/>
        <w:tblInd w:w="0" w:type="dxa"/>
        <w:tblLayout w:type="fixed"/>
        <w:tblCellMar>
          <w:top w:w="28" w:type="dxa"/>
          <w:left w:w="28" w:type="dxa"/>
          <w:bottom w:w="28" w:type="dxa"/>
          <w:right w:w="28" w:type="dxa"/>
        </w:tblCellMar>
      </w:tblPr>
      <w:tblGrid>
        <w:gridCol w:w="560"/>
        <w:gridCol w:w="490"/>
        <w:gridCol w:w="495"/>
        <w:gridCol w:w="244"/>
        <w:gridCol w:w="244"/>
        <w:gridCol w:w="248"/>
        <w:gridCol w:w="244"/>
        <w:gridCol w:w="244"/>
        <w:gridCol w:w="248"/>
        <w:gridCol w:w="237"/>
        <w:gridCol w:w="237"/>
        <w:gridCol w:w="561"/>
        <w:gridCol w:w="109"/>
        <w:gridCol w:w="109"/>
        <w:gridCol w:w="109"/>
        <w:gridCol w:w="338"/>
        <w:gridCol w:w="338"/>
        <w:gridCol w:w="794"/>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'26</w:t>
            </w:r>
          </w:p>
        </w:tc>
        <w:tc>
          <w:tcPr>
            <w:tcW w:w="7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'25</w:t>
            </w:r>
          </w:p>
        </w:tc>
        <w:tc>
          <w:tcPr>
            <w:tcW w:w="10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Organic Revenue</w:t>
              <w:br/>
              <w:t>Change (%)</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5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FSS United States</w:t>
            </w:r>
          </w:p>
        </w:tc>
        <w:tc>
          <w:tcPr>
            <w:tcW w:w="7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$3,496M</w:t>
            </w:r>
          </w:p>
        </w:tc>
        <w:tc>
          <w:tcPr>
            <w:tcW w:w="7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$3,247M</w:t>
            </w:r>
          </w:p>
        </w:tc>
        <w:tc>
          <w:tcPr>
            <w:tcW w:w="474"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7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FSS International</w:t>
            </w:r>
          </w:p>
        </w:tc>
        <w:tc>
          <w:tcPr>
            <w:tcW w:w="7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1,562</w:t>
            </w:r>
          </w:p>
        </w:tc>
        <w:tc>
          <w:tcPr>
            <w:tcW w:w="73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1,379</w:t>
            </w:r>
          </w:p>
        </w:tc>
        <w:tc>
          <w:tcPr>
            <w:tcW w:w="474"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7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54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c>
          <w:tcPr>
            <w:tcW w:w="73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$5,058M</w:t>
            </w:r>
          </w:p>
        </w:tc>
        <w:tc>
          <w:tcPr>
            <w:tcW w:w="73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$4,626M</w:t>
            </w:r>
          </w:p>
        </w:tc>
        <w:tc>
          <w:tcPr>
            <w:tcW w:w="474"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6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79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0" w:after="0"/>
        <w:jc w:val="both"/>
        <w:rPr>
          <w:rFonts w:ascii="Arial;sans-serif" w:hAnsi="Arial;sans-serif"/>
          <w:b w:val="false"/>
          <w:i/>
          <w:color w:val="000000"/>
          <w:sz w:val="14"/>
        </w:rPr>
      </w:pPr>
      <w:r>
        <w:rPr>
          <w:rFonts w:ascii="Arial;sans-serif" w:hAnsi="Arial;sans-serif"/>
          <w:b w:val="false"/>
          <w:i/>
          <w:color w:val="000000"/>
          <w:sz w:val="14"/>
        </w:rPr>
        <w:t>May not total due to rounding</w:t>
      </w:r>
    </w:p>
    <w:p>
      <w:pPr>
        <w:pStyle w:val="TextBody"/>
        <w:bidi w:val="0"/>
        <w:spacing w:lineRule="auto" w:line="259" w:before="0" w:after="160"/>
        <w:jc w:val="both"/>
        <w:rPr>
          <w:rFonts w:ascii="Arial;sans-serif" w:hAnsi="Arial;sans-serif"/>
          <w:b w:val="false"/>
          <w:i/>
          <w:color w:val="000000"/>
          <w:sz w:val="14"/>
        </w:rPr>
      </w:pPr>
      <w:r>
        <w:rPr>
          <w:rFonts w:ascii="Arial;sans-serif" w:hAnsi="Arial;sans-serif"/>
          <w:b w:val="false"/>
          <w:i/>
          <w:color w:val="000000"/>
          <w:sz w:val="14"/>
        </w:rPr>
        <w:t>Difference between Change (%) and Organic Revenue Change (%) is the effect of currency translation</w:t>
      </w:r>
    </w:p>
    <w:p>
      <w:pPr>
        <w:pStyle w:val="TextBody"/>
        <w:bidi w:val="0"/>
        <w:spacing w:before="0" w:after="0"/>
        <w:jc w:val="both"/>
        <w:rPr/>
      </w:pPr>
      <w:r>
        <w:rPr/>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24"/>
        </w:rPr>
        <w:t>FSS United States revenue growth was led by 1) Sports, Leisure &amp; Corrections primarily from higher per cap spending and fan attendance levels in Sports &amp; Entertainment, which included FIFA World Cup matches and the NBA/NHL playoffs, along with an expanded client portfolio across the sector; 2) Business &amp; Industry from sustained double-digit growth with the contribution from significant new business, high client retention rates, and continued base business performance; and 3) Healthcare as a result of both new business and base business expansion. Revenue and Organic Revenue growth would have increased an estimated 10% without the calendar shift, primarily in the Education sector.</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24"/>
        </w:rPr>
        <w:t>FSS International revenue growth was broad-based across all geographies as a result of continued base business strength and net new business performance—largely from Spain, Canada, the U.K., and Germany. Revenue on a GAAP basis included the favorable effect of currency translation.</w:t>
      </w:r>
    </w:p>
    <w:p>
      <w:pPr>
        <w:pStyle w:val="TextBody"/>
        <w:bidi w:val="0"/>
        <w:spacing w:lineRule="auto" w:line="268" w:before="0" w:after="160"/>
        <w:jc w:val="both"/>
        <w:rPr/>
      </w:pPr>
      <w:r>
        <w:rPr>
          <w:rFonts w:ascii="Arial;sans-serif" w:hAnsi="Arial;sans-serif"/>
          <w:b w:val="false"/>
          <w:color w:val="000000"/>
          <w:sz w:val="24"/>
        </w:rPr>
        <w:t>Operating Income in the third quarter increased 18% compared to the prior year period to $216 million, and AOI grew 13%</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to $261 million, representing an operating income margin increase of more than 30 basis points and an AOI margin increase of nearly 20 basis points</w:t>
      </w:r>
      <w:r>
        <w:rPr>
          <w:rFonts w:ascii="Arial;sans-serif" w:hAnsi="Arial;sans-serif"/>
          <w:b w:val="false"/>
          <w:color w:val="000000"/>
          <w:sz w:val="16"/>
        </w:rPr>
        <w:t>1</w:t>
      </w:r>
      <w:r>
        <w:rPr>
          <w:rFonts w:ascii="Arial;sans-serif" w:hAnsi="Arial;sans-serif"/>
          <w:b w:val="false"/>
          <w:color w:val="000000"/>
          <w:sz w:val="24"/>
        </w:rPr>
        <w:t>. The quarter benefited from strong revenue levels, supply chain efficiencies, and productivity gains from effective cost management. This favorable performance more than offset the calendar shift, which reduced Operating Income and AOI by an estimated 11% and 8%, respectively. Operating income and AOI growth would have increased approximately 29% and 21%</w:t>
      </w:r>
      <w:r>
        <w:rPr>
          <w:rFonts w:ascii="Arial;sans-serif" w:hAnsi="Arial;sans-serif"/>
          <w:b w:val="false"/>
          <w:color w:val="000000"/>
          <w:sz w:val="16"/>
        </w:rPr>
        <w:t>1</w:t>
      </w:r>
      <w:r>
        <w:rPr>
          <w:rFonts w:ascii="Arial;sans-serif" w:hAnsi="Arial;sans-serif"/>
          <w:b w:val="false"/>
          <w:color w:val="000000"/>
          <w:sz w:val="24"/>
        </w:rPr>
        <w:t>, respectively, without the calendar shift—with operating income margin growth of nearly 65 basis points and AOI margin expansion of 50 basis points. The effect of currency translation increased Operating Income by approximately $1 million.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tbl>
      <w:tblPr>
        <w:tblW w:w="9130" w:type="dxa"/>
        <w:jc w:val="left"/>
        <w:tblInd w:w="0" w:type="dxa"/>
        <w:tblLayout w:type="fixed"/>
        <w:tblCellMar>
          <w:top w:w="28" w:type="dxa"/>
          <w:left w:w="28" w:type="dxa"/>
          <w:bottom w:w="28" w:type="dxa"/>
          <w:right w:w="28" w:type="dxa"/>
        </w:tblCellMar>
      </w:tblPr>
      <w:tblGrid>
        <w:gridCol w:w="560"/>
        <w:gridCol w:w="490"/>
        <w:gridCol w:w="495"/>
        <w:gridCol w:w="205"/>
        <w:gridCol w:w="200"/>
        <w:gridCol w:w="200"/>
        <w:gridCol w:w="205"/>
        <w:gridCol w:w="200"/>
        <w:gridCol w:w="200"/>
        <w:gridCol w:w="344"/>
        <w:gridCol w:w="344"/>
        <w:gridCol w:w="346"/>
        <w:gridCol w:w="109"/>
        <w:gridCol w:w="109"/>
        <w:gridCol w:w="109"/>
        <w:gridCol w:w="226"/>
        <w:gridCol w:w="226"/>
        <w:gridCol w:w="226"/>
        <w:gridCol w:w="226"/>
        <w:gridCol w:w="226"/>
        <w:gridCol w:w="226"/>
        <w:gridCol w:w="344"/>
        <w:gridCol w:w="344"/>
        <w:gridCol w:w="346"/>
        <w:gridCol w:w="767"/>
        <w:gridCol w:w="767"/>
        <w:gridCol w:w="1090"/>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12"/>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Operating Income (AOI)</w:t>
            </w:r>
          </w:p>
        </w:tc>
      </w:tr>
      <w:tr>
        <w:trPr/>
        <w:tc>
          <w:tcPr>
            <w:tcW w:w="15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'26</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'25</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'26</w:t>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'25</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w:t>
            </w:r>
          </w:p>
        </w:tc>
        <w:tc>
          <w:tcPr>
            <w:tcW w:w="262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 Change (%)</w:t>
            </w:r>
          </w:p>
        </w:tc>
      </w:tr>
      <w:tr>
        <w:trPr/>
        <w:tc>
          <w:tcPr>
            <w:tcW w:w="15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FSS United States</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$182M</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$160M</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$211M</w:t>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$189M</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262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r>
      <w:tr>
        <w:trPr/>
        <w:tc>
          <w:tcPr>
            <w:tcW w:w="15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FSS International</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262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15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(35)</w:t>
            </w:r>
          </w:p>
        </w:tc>
        <w:tc>
          <w:tcPr>
            <w:tcW w:w="6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(27)</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(35)</w:t>
            </w:r>
          </w:p>
        </w:tc>
        <w:tc>
          <w:tcPr>
            <w:tcW w:w="6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(27)</w:t>
            </w:r>
          </w:p>
        </w:tc>
        <w:tc>
          <w:tcPr>
            <w:tcW w:w="10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262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r>
      <w:tr>
        <w:trPr/>
        <w:tc>
          <w:tcPr>
            <w:tcW w:w="154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c>
          <w:tcPr>
            <w:tcW w:w="6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$216M</w:t>
            </w:r>
          </w:p>
        </w:tc>
        <w:tc>
          <w:tcPr>
            <w:tcW w:w="6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$183M</w:t>
            </w:r>
          </w:p>
        </w:tc>
        <w:tc>
          <w:tcPr>
            <w:tcW w:w="10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$261M</w:t>
            </w:r>
          </w:p>
        </w:tc>
        <w:tc>
          <w:tcPr>
            <w:tcW w:w="67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$230M</w:t>
            </w:r>
          </w:p>
        </w:tc>
        <w:tc>
          <w:tcPr>
            <w:tcW w:w="10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262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0" w:after="160"/>
        <w:jc w:val="both"/>
        <w:rPr>
          <w:rFonts w:ascii="Arial;sans-serif" w:hAnsi="Arial;sans-serif"/>
          <w:b w:val="false"/>
          <w:i/>
          <w:color w:val="000000"/>
          <w:sz w:val="14"/>
        </w:rPr>
      </w:pPr>
      <w:r>
        <w:rPr>
          <w:rFonts w:ascii="Arial;sans-serif" w:hAnsi="Arial;sans-serif"/>
          <w:b w:val="false"/>
          <w:i/>
          <w:color w:val="000000"/>
          <w:sz w:val="14"/>
        </w:rPr>
        <w:t>May not total due to rounding</w:t>
      </w:r>
    </w:p>
    <w:p>
      <w:pPr>
        <w:pStyle w:val="TextBody"/>
        <w:bidi w:val="0"/>
        <w:spacing w:lineRule="auto" w:line="259" w:before="0" w:after="0"/>
        <w:jc w:val="both"/>
        <w:rPr>
          <w:rFonts w:ascii="Arial;sans-serif" w:hAnsi="Arial;sans-serif"/>
          <w:b w:val="false"/>
          <w:color w:val="000000"/>
          <w:sz w:val="24"/>
        </w:rPr>
      </w:pPr>
      <w:r>
        <w:rPr>
          <w:rFonts w:ascii="Arial;sans-serif" w:hAnsi="Arial;sans-serif"/>
          <w:b w:val="false"/>
          <w:color w:val="000000"/>
          <w:sz w:val="24"/>
        </w:rPr>
        <w:t>Year-over-year profitability growth and margin expansion resulted from the following segment</w:t>
      </w:r>
    </w:p>
    <w:p>
      <w:pPr>
        <w:pStyle w:val="TextBody"/>
        <w:bidi w:val="0"/>
        <w:spacing w:lineRule="auto" w:line="288" w:before="0" w:after="160"/>
        <w:jc w:val="both"/>
        <w:rPr>
          <w:rFonts w:ascii="Arial;sans-serif" w:hAnsi="Arial;sans-serif"/>
          <w:b w:val="false"/>
          <w:color w:val="000000"/>
          <w:sz w:val="24"/>
        </w:rPr>
      </w:pPr>
      <w:r>
        <w:rPr>
          <w:rFonts w:ascii="Arial;sans-serif" w:hAnsi="Arial;sans-serif"/>
          <w:b w:val="false"/>
          <w:color w:val="000000"/>
          <w:sz w:val="24"/>
        </w:rPr>
        <w:t>performance:</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24"/>
        </w:rPr>
        <w:t>FSS United States increased from higher base business and new business revenue levels, particularly in Sports, Leisure &amp; Corrections, Business &amp; Industry, and Healthcare, in addition to supply chain efficiencies and productivity gains from effective cost management. Operating Income and AOI would have increased an estimated 26% and 22%, respectively, without the calendar shift—with operating income margin growth of more than 40 basis points and AOI margin expansion of nearly 65 basis points.</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24"/>
        </w:rPr>
        <w:t>FSS International benefited from base business and net new business expansion, along with strengthened supply chain economics. Operating Income on a GAAP basis included the favorable effect of currency translation.</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24"/>
        </w:rPr>
        <w:t>Corporate expenses increased primarily due to higher share-based compensation.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4"/>
          <w:u w:val="single"/>
        </w:rPr>
      </w:pPr>
      <w:r>
        <w:rPr>
          <w:rFonts w:ascii="Arial;sans-serif" w:hAnsi="Arial;sans-serif"/>
          <w:b/>
          <w:color w:val="000000"/>
          <w:sz w:val="24"/>
          <w:u w:val="single"/>
        </w:rPr>
        <w:t>CASH FLOW AND CAPITAL STRUCTURE</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Aramark reported a higher cash inflow in the third quarter compared to the prior year period, predominantly driven by stronger business performance and earnings growth. Net cash provided by operating activities in the quarter grew $41 million and Free Cash Flow increased $42 million. Consistent with the typical seasonality of the business, the Company expects to generate a large cash inflow in the fourth quarter, primarily from Collegiate Hospitality and Sports &amp; Entertainment.</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At quarter-end, the Company had more than $1.4 billion in cash availability.</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Aramark proactively repaid approximately $100 million of 2028 Term Loans subsequent to quarter-end. The Company remains committed to a leverage ratio below 3.0x by the end of fiscal 2026.</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Aramark also maintains an active share repurchase program and has repurchased more than 5 million shares since its inception for an aggregate purchase price of approximately $194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4"/>
          <w:u w:val="single"/>
        </w:rPr>
      </w:pPr>
      <w:r>
        <w:rPr>
          <w:rFonts w:ascii="Arial;sans-serif" w:hAnsi="Arial;sans-serif"/>
          <w:b/>
          <w:color w:val="000000"/>
          <w:sz w:val="24"/>
          <w:u w:val="single"/>
        </w:rPr>
        <w:t>DIVIDEND DECLARATION</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Aramark's Board of Directors approved a quarterly dividend of $0.12 per share of common stock, as announced on August 5, 2026. The dividend will be payable on September 9, 2026, to stockholders of record at the close of business on August 19,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4"/>
          <w:u w:val="single"/>
        </w:rPr>
      </w:pPr>
      <w:r>
        <w:rPr>
          <w:rFonts w:ascii="Arial;sans-serif" w:hAnsi="Arial;sans-serif"/>
          <w:b/>
          <w:color w:val="000000"/>
          <w:sz w:val="24"/>
          <w:u w:val="single"/>
        </w:rPr>
        <w:t>BUSINESS UPDATE</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The Company reported another quarter of substantial growth in both revenue and profitability, with this momentum continuing in all business segments.</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Late in the third quarter, Aramark began operations at its first Texas-based site supporting a top global hyperscaler and is currently scaling the service offerings. The Company is mobilizing a second site for this client and anticipates supporting additional locations. Aramark remains in active dialogue with other leading hyperscalers, reflecting strong demand for its integrated suite of capabilities.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 xml:space="preserve">Further extending the reach of Aramark Nexus, the Company recently announced a multi-year engagement with a leading AI data center colocation provider to deliver premium hospitality services to workforce communities across multiple locations, including in Wyoming and Texas. </w:t>
      </w:r>
    </w:p>
    <w:p>
      <w:pPr>
        <w:pStyle w:val="TextBody"/>
        <w:bidi w:val="0"/>
        <w:spacing w:lineRule="auto" w:line="268" w:before="0" w:after="160"/>
        <w:jc w:val="both"/>
        <w:rPr/>
      </w:pPr>
      <w:r>
        <w:rPr>
          <w:rFonts w:ascii="Arial;sans-serif" w:hAnsi="Arial;sans-serif"/>
          <w:b w:val="false"/>
          <w:color w:val="000000"/>
          <w:sz w:val="24"/>
        </w:rPr>
        <w:t>As Aramark Nexus</w:t>
      </w:r>
      <w:r>
        <w:rPr>
          <w:color w:val="000000"/>
        </w:rPr>
        <w:t xml:space="preserve"> </w:t>
      </w:r>
      <w:r>
        <w:rPr>
          <w:rFonts w:ascii="Arial;sans-serif" w:hAnsi="Arial;sans-serif"/>
          <w:b w:val="false"/>
          <w:color w:val="000000"/>
          <w:sz w:val="24"/>
        </w:rPr>
        <w:t>continues to expand in scale and geographic footprint, the Company believes that the business is uniquely positioned to help clients attract and retain skilled labor through differentiated hospitality solutions and premium amenities that enhance the employee experience and contribute to operational success.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OUTLOOK</w:t>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The Company provides its expectations for organic revenue growth, Adjusted Operating Income growth (constant currency), Adjusted Earnings per Share growth (constant currency), and Net Debt to Covenant Adjusted EBITDA ("Leverage Ratio") on a non-GAAP basis, and does not provide a reconciliation of such forward-looking non-GAAP measures to GAAP due to the inherent difficulty in forecasting and quantifying certain amounts that are necessary for such reconciliations, including adjustments that could be made for the effect of currency translation. The fiscal 2026 outlook reflects management's current assumptions regarding numerous evolving factors that are difficult to accurately predict, including those discussed in the Risk Factors set forth in the Company's filings with the United States Securities and Exchange Commission.</w:t>
      </w:r>
    </w:p>
    <w:p>
      <w:pPr>
        <w:pStyle w:val="TextBody"/>
        <w:bidi w:val="0"/>
        <w:spacing w:before="0" w:after="0"/>
        <w:jc w:val="both"/>
        <w:rPr/>
      </w:pPr>
      <w:r>
        <w:rPr/>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 xml:space="preserve">As a result of Aramark's strong financial performance throughout Fiscal 2026, the Company raised its full-year Organic Revenue growth Outlook. In addition to the continued growth momentum across Aramark’s broader portfolio, this increase reflects the contribution from commencing operations with a top global hyperscaler as Aramark scales its premium hospitality services. </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The Company reaffirmed its Outlook for AOI, Adjusted EPS, and Leverage Ratio with anticipated fourth quarter results consistent with Wall Street estimates. Aramark expects AOI growth and margin expansion to accelerate in the fourth quarter, driven by its multiple operating levers and the early profitability contribution from Aramark Nexus, while mobilizing a record level of new business throughout the Company and adding growth resources as appropriate to further capitalize on the significant demand for Aramark Nexus.</w:t>
      </w:r>
    </w:p>
    <w:p>
      <w:pPr>
        <w:pStyle w:val="TextBody"/>
        <w:bidi w:val="0"/>
        <w:spacing w:lineRule="auto" w:line="268" w:before="0" w:after="160"/>
        <w:jc w:val="both"/>
        <w:rPr>
          <w:rFonts w:ascii="Arial;sans-serif" w:hAnsi="Arial;sans-serif"/>
          <w:b w:val="false"/>
          <w:color w:val="000000"/>
          <w:sz w:val="24"/>
        </w:rPr>
      </w:pPr>
      <w:r>
        <w:rPr>
          <w:rFonts w:ascii="Arial;sans-serif" w:hAnsi="Arial;sans-serif"/>
          <w:b w:val="false"/>
          <w:color w:val="000000"/>
          <w:sz w:val="24"/>
        </w:rPr>
        <w:t>Aramark currently anticipates its full-year performance for Fiscal 2026 as follows:</w:t>
      </w:r>
    </w:p>
    <w:tbl>
      <w:tblPr>
        <w:tblW w:w="6735" w:type="dxa"/>
        <w:jc w:val="left"/>
        <w:tblInd w:w="0" w:type="dxa"/>
        <w:tblLayout w:type="fixed"/>
        <w:tblCellMar>
          <w:top w:w="28" w:type="dxa"/>
          <w:left w:w="28" w:type="dxa"/>
          <w:bottom w:w="28" w:type="dxa"/>
          <w:right w:w="28" w:type="dxa"/>
        </w:tblCellMar>
      </w:tblPr>
      <w:tblGrid>
        <w:gridCol w:w="2152"/>
        <w:gridCol w:w="1892"/>
        <w:gridCol w:w="2691"/>
      </w:tblGrid>
      <w:tr>
        <w:trPr/>
        <w:tc>
          <w:tcPr>
            <w:tcW w:w="215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160"/>
              <w:ind w:left="0" w:right="0" w:hanging="360"/>
              <w:jc w:val="both"/>
              <w:rPr/>
            </w:pPr>
            <w:r>
              <w:rPr>
                <w:color w:val="000000"/>
              </w:rPr>
              <w:t>•</w:t>
            </w:r>
            <w:r>
              <w:rPr>
                <w:rFonts w:ascii="Arial;sans-serif" w:hAnsi="Arial;sans-serif"/>
                <w:b/>
                <w:color w:val="000000"/>
                <w:sz w:val="24"/>
              </w:rPr>
              <w:t>Organic Revenue</w:t>
            </w:r>
            <w:r>
              <w:rPr>
                <w:color w:val="000000"/>
              </w:rPr>
              <w:t xml:space="preserve"> </w:t>
            </w:r>
            <w:r>
              <w:rPr>
                <w:rFonts w:ascii="Arial;sans-serif" w:hAnsi="Arial;sans-serif"/>
                <w:b w:val="false"/>
                <w:color w:val="000000"/>
                <w:sz w:val="24"/>
              </w:rPr>
              <w:t xml:space="preserve">growth of </w:t>
            </w:r>
            <w:r>
              <w:rPr>
                <w:rFonts w:ascii="Arial;sans-serif" w:hAnsi="Arial;sans-serif"/>
                <w:b/>
                <w:color w:val="000000"/>
                <w:sz w:val="24"/>
              </w:rPr>
              <w:t>+9%</w:t>
            </w:r>
            <w:r>
              <w:rPr>
                <w:color w:val="000000"/>
              </w:rPr>
              <w:t xml:space="preserve"> </w:t>
            </w:r>
            <w:r>
              <w:rPr>
                <w:rFonts w:ascii="Arial;sans-serif" w:hAnsi="Arial;sans-serif"/>
                <w:b/>
                <w:color w:val="000000"/>
                <w:sz w:val="24"/>
              </w:rPr>
              <w:t>to</w:t>
            </w:r>
            <w:r>
              <w:rPr>
                <w:color w:val="000000"/>
              </w:rPr>
              <w:t xml:space="preserve"> </w:t>
            </w:r>
            <w:r>
              <w:rPr>
                <w:rFonts w:ascii="Arial;sans-serif" w:hAnsi="Arial;sans-serif"/>
                <w:b/>
                <w:color w:val="000000"/>
                <w:sz w:val="24"/>
              </w:rPr>
              <w:t>+10%;</w:t>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160"/>
              <w:ind w:left="0" w:right="0" w:hanging="360"/>
              <w:jc w:val="both"/>
              <w:rPr/>
            </w:pPr>
            <w:r>
              <w:rPr>
                <w:color w:val="000000"/>
              </w:rPr>
              <w:t>•</w:t>
            </w:r>
            <w:r>
              <w:rPr>
                <w:rFonts w:ascii="Arial;sans-serif" w:hAnsi="Arial;sans-serif"/>
                <w:b/>
                <w:color w:val="000000"/>
                <w:sz w:val="24"/>
              </w:rPr>
              <w:t>Adjusted Operating Income (AOI)</w:t>
            </w:r>
            <w:r>
              <w:rPr>
                <w:color w:val="000000"/>
              </w:rPr>
              <w:t xml:space="preserve"> </w:t>
            </w:r>
            <w:r>
              <w:rPr>
                <w:rFonts w:ascii="Arial;sans-serif" w:hAnsi="Arial;sans-serif"/>
                <w:b w:val="false"/>
                <w:color w:val="000000"/>
                <w:sz w:val="24"/>
              </w:rPr>
              <w:t xml:space="preserve">growth of </w:t>
            </w:r>
            <w:r>
              <w:rPr>
                <w:rFonts w:ascii="Arial;sans-serif" w:hAnsi="Arial;sans-serif"/>
                <w:b/>
                <w:color w:val="000000"/>
                <w:sz w:val="24"/>
              </w:rPr>
              <w:t>+12% to +17%</w:t>
            </w:r>
            <w:r>
              <w:rPr>
                <w:rFonts w:ascii="Arial;sans-serif" w:hAnsi="Arial;sans-serif"/>
                <w:b w:val="false"/>
                <w:color w:val="000000"/>
                <w:sz w:val="24"/>
              </w:rPr>
              <w:t>;</w:t>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160"/>
              <w:ind w:left="0" w:right="0" w:hanging="360"/>
              <w:jc w:val="both"/>
              <w:rPr/>
            </w:pPr>
            <w:r>
              <w:rPr>
                <w:color w:val="000000"/>
              </w:rPr>
              <w:t>•</w:t>
            </w:r>
            <w:r>
              <w:rPr>
                <w:rFonts w:ascii="Arial;sans-serif" w:hAnsi="Arial;sans-serif"/>
                <w:b/>
                <w:color w:val="000000"/>
                <w:sz w:val="24"/>
              </w:rPr>
              <w:t>Adjusted EPS</w:t>
            </w:r>
            <w:r>
              <w:rPr>
                <w:color w:val="000000"/>
              </w:rPr>
              <w:t xml:space="preserve"> </w:t>
            </w:r>
            <w:r>
              <w:rPr>
                <w:rFonts w:ascii="Arial;sans-serif" w:hAnsi="Arial;sans-serif"/>
                <w:b w:val="false"/>
                <w:color w:val="000000"/>
                <w:sz w:val="24"/>
              </w:rPr>
              <w:t xml:space="preserve">growth of </w:t>
            </w:r>
            <w:r>
              <w:rPr>
                <w:rFonts w:ascii="Arial;sans-serif" w:hAnsi="Arial;sans-serif"/>
                <w:b/>
                <w:color w:val="000000"/>
                <w:sz w:val="24"/>
              </w:rPr>
              <w:t>+20% to +25%</w:t>
            </w:r>
            <w:r>
              <w:rPr>
                <w:rFonts w:ascii="Arial;sans-serif" w:hAnsi="Arial;sans-serif"/>
                <w:b w:val="false"/>
                <w:color w:val="000000"/>
                <w:sz w:val="24"/>
              </w:rPr>
              <w:t>; and</w:t>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160"/>
              <w:ind w:left="0" w:right="0" w:hanging="360"/>
              <w:jc w:val="both"/>
              <w:rPr/>
            </w:pPr>
            <w:r>
              <w:rPr>
                <w:color w:val="000000"/>
              </w:rPr>
              <w:t>•</w:t>
            </w:r>
            <w:r>
              <w:rPr>
                <w:rFonts w:ascii="Arial;sans-serif" w:hAnsi="Arial;sans-serif"/>
                <w:b/>
                <w:color w:val="000000"/>
                <w:sz w:val="24"/>
              </w:rPr>
              <w:t>Leverage Ratio</w:t>
            </w:r>
            <w:r>
              <w:rPr>
                <w:color w:val="000000"/>
              </w:rPr>
              <w:t xml:space="preserve"> </w:t>
            </w:r>
            <w:r>
              <w:rPr>
                <w:rFonts w:ascii="Arial;sans-serif" w:hAnsi="Arial;sans-serif"/>
                <w:b w:val="false"/>
                <w:color w:val="000000"/>
                <w:sz w:val="24"/>
              </w:rPr>
              <w:t xml:space="preserve">under </w:t>
            </w:r>
            <w:r>
              <w:rPr>
                <w:rFonts w:ascii="Arial;sans-serif" w:hAnsi="Arial;sans-serif"/>
                <w:b/>
                <w:color w:val="000000"/>
                <w:sz w:val="24"/>
              </w:rPr>
              <w:t>3x</w:t>
            </w:r>
            <w:r>
              <w:rPr>
                <w:color w:val="000000"/>
              </w:rPr>
              <w:t xml:space="preserve"> </w:t>
            </w:r>
          </w:p>
        </w:tc>
      </w:tr>
      <w:tr>
        <w:trPr/>
        <w:tc>
          <w:tcPr>
            <w:tcW w:w="673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40"/>
        <w:jc w:val="both"/>
        <w:rPr>
          <w:rFonts w:ascii="Arial;sans-serif" w:hAnsi="Arial;sans-serif"/>
          <w:b/>
          <w:i/>
          <w:color w:val="000000"/>
          <w:sz w:val="16"/>
        </w:rPr>
      </w:pPr>
      <w:r>
        <w:rPr>
          <w:rFonts w:ascii="Arial;sans-serif" w:hAnsi="Arial;sans-serif"/>
          <w:b/>
          <w:i/>
          <w:color w:val="000000"/>
          <w:sz w:val="16"/>
        </w:rPr>
        <w:t>Previous Outlook for Organic Revenue growth was at the high end of +7% to +9%</w:t>
      </w:r>
    </w:p>
    <w:p>
      <w:pPr>
        <w:pStyle w:val="TextBody"/>
        <w:bidi w:val="0"/>
        <w:spacing w:lineRule="auto" w:line="276" w:before="0" w:after="40"/>
        <w:jc w:val="both"/>
        <w:rPr>
          <w:rFonts w:ascii="Arial;sans-serif" w:hAnsi="Arial;sans-serif"/>
          <w:b w:val="false"/>
          <w:i/>
          <w:color w:val="000000"/>
          <w:sz w:val="14"/>
        </w:rPr>
      </w:pPr>
      <w:r>
        <w:rPr>
          <w:rFonts w:ascii="Arial;sans-serif" w:hAnsi="Arial;sans-serif"/>
          <w:b w:val="false"/>
          <w:i/>
          <w:color w:val="000000"/>
          <w:sz w:val="14"/>
        </w:rPr>
        <w:t>All percentages above are on a constant currency basis</w:t>
      </w:r>
    </w:p>
    <w:p>
      <w:pPr>
        <w:pStyle w:val="TextBody"/>
        <w:bidi w:val="0"/>
        <w:spacing w:lineRule="auto" w:line="276" w:before="0" w:after="160"/>
        <w:jc w:val="both"/>
        <w:rPr>
          <w:rFonts w:ascii="Arial;sans-serif" w:hAnsi="Arial;sans-serif"/>
          <w:b w:val="false"/>
          <w:i/>
          <w:color w:val="000000"/>
          <w:sz w:val="14"/>
        </w:rPr>
      </w:pPr>
      <w:r>
        <w:rPr>
          <w:rFonts w:ascii="Arial;sans-serif" w:hAnsi="Arial;sans-serif"/>
          <w:b w:val="false"/>
          <w:i/>
          <w:color w:val="000000"/>
          <w:sz w:val="14"/>
        </w:rPr>
        <w:t>For easier comparison purposes, Fiscal 2025 Organic Revenue is on a 52-week basis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4"/>
        </w:rPr>
        <w:t>We’re extremely confident in our ability to continue driving strong, sustained growth,” Zillmer added. “We believe that the opportunities before us—from the outperformance of our core business to the scaling of Aramark Nexus and our Global Supply Chain platform—position us well to realize the benefits of the significant value-creating actions underway. Once again, I am thankful to our teams around the globe for embodying our culture and values, which remain the foundation of who we are as a Company.”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9"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68" w:before="0" w:after="160"/>
        <w:jc w:val="both"/>
        <w:rPr>
          <w:rFonts w:ascii="Arial;sans-serif" w:hAnsi="Arial;sans-serif"/>
          <w:b/>
          <w:color w:val="000000"/>
          <w:sz w:val="24"/>
          <w:u w:val="single"/>
        </w:rPr>
      </w:pPr>
      <w:r>
        <w:rPr>
          <w:rFonts w:ascii="Arial;sans-serif" w:hAnsi="Arial;sans-serif"/>
          <w:b/>
          <w:color w:val="000000"/>
          <w:sz w:val="24"/>
          <w:u w:val="single"/>
        </w:rPr>
        <w:t>CONFERENCE CALL SCHEDULED</w:t>
      </w:r>
    </w:p>
    <w:p>
      <w:pPr>
        <w:pStyle w:val="TextBody"/>
        <w:bidi w:val="0"/>
        <w:spacing w:lineRule="auto" w:line="268" w:before="0" w:after="160"/>
        <w:jc w:val="both"/>
        <w:rPr/>
      </w:pPr>
      <w:r>
        <w:rPr>
          <w:rFonts w:ascii="Arial;sans-serif" w:hAnsi="Arial;sans-serif"/>
          <w:b w:val="false"/>
          <w:color w:val="000000"/>
          <w:sz w:val="24"/>
        </w:rPr>
        <w:t xml:space="preserve">The Company has scheduled a conference call at 8:30 a.m. ET today to discuss its earnings and outlook. This call and related materials can be heard and reviewed, either live or on a delayed basis, on the Company's website, </w:t>
      </w:r>
      <w:r>
        <w:rPr>
          <w:rFonts w:ascii="Arial;sans-serif" w:hAnsi="Arial;sans-serif"/>
          <w:b w:val="false"/>
          <w:color w:val="0000FF"/>
          <w:sz w:val="24"/>
          <w:u w:val="single"/>
        </w:rPr>
        <w:t>www.aramark.com</w:t>
      </w:r>
      <w:r>
        <w:rPr>
          <w:rFonts w:ascii="Arial;sans-serif" w:hAnsi="Arial;sans-serif"/>
          <w:b w:val="false"/>
          <w:color w:val="000000"/>
          <w:sz w:val="24"/>
        </w:rPr>
        <w:t>, on the investor relations page.</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4"/>
          <w:u w:val="single"/>
        </w:rPr>
        <w:t>About Aramark</w:t>
      </w:r>
      <w:r>
        <w:rPr>
          <w:color w:val="000000"/>
        </w:rPr>
        <w:t xml:space="preserve"> </w:t>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Aramark (NYSE: ARMK) proudly serves the world’s leading educational institutions, Fortune 500 companies, world champion sports teams, prominent healthcare providers, iconic destinations and cultural attractions, and numerous municipalities in 16 countries around the world with food and facilities management. Because of our hospitality culture, our employees strive to do great things for each other, our partners, our communities, and the planet. Learn more at www.aramark.com and connect with us on LinkedIn, Facebook, and Instagram.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0"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575"/>
        <w:gridCol w:w="2742"/>
        <w:gridCol w:w="3888"/>
      </w:tblGrid>
      <w:tr>
        <w:trPr/>
        <w:tc>
          <w:tcPr>
            <w:tcW w:w="3575"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Selected Operational and Financial Metrics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Revenue (Organic)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Revenue (Organic) represents revenue adjusted to eliminate the impact of currency translation.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Operating Income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represents operating income adjusted to eliminate the impact of amortization of acquisition-related intangible assets; severance and other charges and other items impacting comparability.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Operating Income (Constant Currency)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Operating Income (Constant Currency) represents Adjusted Operating Income adjusted to eliminate the impact of currency translation.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Net Income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represents net income attributable to Aramark stockholders adjusted to eliminate the impact of amortization of acquisition-related intangible assets; severance and other charges; the effect of debt repricing and repayments on interest expense, net, and other items impacting comparability, less the tax impact of these adjustments. The tax effect for Adjusted Net Income for our United States earnings is calculated using a blended United States federal and state tax rate. The tax effect for Adjusted Net Income in jurisdictions outside the United States is calculated at the local country tax rate.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Net Income (Constant Currency)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Net Income (Constant Currency) represents Adjusted Net Income adjusted to eliminate the impact of currency translation.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EPS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EPS represents Adjusted Net Income divided by diluted weighted average shares outstanding.</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Adjusted EPS (Constant Currency)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Adjusted EPS (Constant Currency) represents Adjusted EPS adjusted to eliminate the impact of currency translation.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Covenant Adjusted EBITDA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Covenant Adjusted EBITDA represents net income attributable to Aramark stockholders adjusted for interest expense, net; provision for income taxes; depreciation and amortization and certain other items as defined in our credit agreement required in calculating covenant ratios and debt compliance. We also use Net Debt for our ratio to Covenant Adjusted EBITDA, which is calculated as total long-term borrowings less cash and cash equivalents and short-term marketable securities.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Free Cash Flow</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Free Cash Flow represents net cash used in operating activities less net purchases of property and equipment and other. Management believes that the presentation of free cash flow provides useful information to investors because it represents a measure of cash flow available for distribution among all the security holders of the Company.</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use Adjusted Revenue (Organic), Adjusted Operating Income (including on a constant currency basis), Adjusted Net Income (including on a constant currency basis), Adjusted EPS (including on a constant currency basis), Covenant Adjusted EBITDA and Free Cash Flow as supplemental measures of our operating profitability and to control our cash operating costs. We believe these financial measures are useful to investors because they enable better comparisons of our historical results and allow our investors to evaluate our performance based on the same metrics that we use to evaluate our performance and trends in our results. These financial metrics are not measurements of financial performance under generally accepted accounting principles, or GAAP. Our presentation of these metrics has limitations as an analytical tool and should not be considered in isolation or as a substitute for analysis of our results as reported under GAAP. You should not consider these measures as alternatives to revenue, operating income, net income, earnings per share or net cash used in operating activities, determined in accordance with GAAP. Adjusted Revenue (Organic), Adjusted Operating Income, Adjusted Net Income, Adjusted EPS, Covenant Adjusted EBITDA and Free Cash Flow as presented by us may not be comparable to other similarly titled measures of other companies because not all companies use identical calculations.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2100"/>
                <wp:effectExtent l="0" t="0" r="0" b="0"/>
                <wp:wrapNone/>
                <wp:docPr id="11"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Explanatory Notes to the Non-GAAP Schedules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Amortization of Acquisition-Related Intangible Assets</w:t>
      </w:r>
      <w:r>
        <w:rPr>
          <w:color w:val="000000"/>
        </w:rPr>
        <w:t xml:space="preserve"> </w:t>
      </w:r>
      <w:r>
        <w:rPr>
          <w:rFonts w:ascii="Times New Roman;serif" w:hAnsi="Times New Roman;serif"/>
          <w:b w:val="false"/>
          <w:color w:val="000000"/>
          <w:sz w:val="20"/>
        </w:rPr>
        <w:t>- adjustments to eliminate the impact of amortization expense recognized on acquisition-related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Severance and Other Charges</w:t>
      </w:r>
      <w:r>
        <w:rPr>
          <w:color w:val="000000"/>
        </w:rPr>
        <w:t xml:space="preserve"> </w:t>
      </w:r>
      <w:r>
        <w:rPr>
          <w:rFonts w:ascii="Times New Roman;serif" w:hAnsi="Times New Roman;serif"/>
          <w:b w:val="false"/>
          <w:color w:val="000000"/>
          <w:sz w:val="20"/>
        </w:rPr>
        <w:t>- adjustments to eliminate severance expenses in the applicable period ($5.6 million for the third quarter of 2026, $11.1 million for year-to-date 2026 and $12.7 million for both the third quarter and year-to-date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Gains, Losses and Settlements impacting comparability</w:t>
      </w:r>
      <w:r>
        <w:rPr>
          <w:color w:val="000000"/>
        </w:rPr>
        <w:t xml:space="preserve"> </w:t>
      </w:r>
      <w:r>
        <w:rPr>
          <w:rFonts w:ascii="Times New Roman;serif" w:hAnsi="Times New Roman;serif"/>
          <w:b w:val="false"/>
          <w:color w:val="000000"/>
          <w:sz w:val="20"/>
        </w:rPr>
        <w:t>- adjustments to eliminate certain transactions that are not indicative of the Company's ongoing operational performance, primarily for non-cash charges for the impairment of certain assets related to a business held-for-sale ($6.1 million for year-to-date 2026), multiemployer pension plan withdrawal charge, net of reversal ($0.8 million reversal for the third quarter of 2026 and $4.8 million charge for year-to-date 2026), legal and professional fees related to an antitrust review ($1.1 million for the third quarter of 2026, $2.4 million for year-to-date 2026 and $1.1 million for the both the third quarter and year-to-date 2025), charges related to hyperinflation in Argentina ($1.4 million for the third quarter of 2026, $1.0 million for year-to-date 2026, $1.7 million for the third quarter of 2025 and $3.0 million for year-to-date 2025) and a charge for contingent consideration liabilities related to acquisition earn outs ($11.1 million for year-to-date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Effect of Debt Repayments and Refinancings on Interest Expense, net</w:t>
      </w:r>
      <w:r>
        <w:rPr>
          <w:color w:val="000000"/>
        </w:rPr>
        <w:t xml:space="preserve"> </w:t>
      </w:r>
      <w:r>
        <w:rPr>
          <w:rFonts w:ascii="Times New Roman;serif" w:hAnsi="Times New Roman;serif"/>
          <w:b w:val="false"/>
          <w:color w:val="000000"/>
          <w:sz w:val="20"/>
        </w:rPr>
        <w:t>- adjustments to eliminate expenses associated with the refinancings by the Company in the applicable period such as payment of third party costs ($0.7 million for year-to-date 2026 and $5.8 million for year-to-date 2025) and non-cash charges for the write-off of unamortized debt issuance costs and discounts ($0.4 million for year-to-date 2026 and $2.5 million for year-to-date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Tax Impact of Adjustments to Adjusted Net Income</w:t>
      </w:r>
      <w:r>
        <w:rPr>
          <w:color w:val="000000"/>
        </w:rPr>
        <w:t xml:space="preserve"> </w:t>
      </w:r>
      <w:r>
        <w:rPr>
          <w:rFonts w:ascii="Times New Roman;serif" w:hAnsi="Times New Roman;serif"/>
          <w:b w:val="false"/>
          <w:color w:val="000000"/>
          <w:sz w:val="20"/>
        </w:rPr>
        <w:t>- adjustments to eliminate the net tax impact of the adjustments to Adjusted Net Income calculated based on a blended United States federal and state tax rate for United States adjustments and the local country tax rate for adjustments in jurisdictions outside the United States. The adjustments also reverse the valuation allowance recorded against global deferred tax assets based on the company’s ability to utilize them ($8.1 million charge for the third quarter of 2026, $11.5 million charge for year-to-date 2026, $3.1 million benefit for the third quarter of 2025 and $11.6 million benefit for year-to-date 2025). Additionally, the adjustments reverse the benefit from release of certain reserves that were originally established due to CARES Act ($0.6 million benefit for both the third quarter and year-to-date 2026) and eliminate the impact of the state tax treatment related to the sale of a minority interest ($4.4 million charge for year-to-date 2025) and the tax related impact of the Company's spin-off of the Uniform segment, including non-deductible transaction costs ($3.6 million charge for year-to-date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Effect of Currency Translation</w:t>
      </w:r>
      <w:r>
        <w:rPr>
          <w:color w:val="000000"/>
        </w:rPr>
        <w:t xml:space="preserve"> </w:t>
      </w:r>
      <w:r>
        <w:rPr>
          <w:rFonts w:ascii="Times New Roman;serif" w:hAnsi="Times New Roman;serif"/>
          <w:b w:val="false"/>
          <w:color w:val="000000"/>
          <w:sz w:val="20"/>
        </w:rPr>
        <w:t>- adjustments to eliminate the impact that fluctuations in currency translation rates had on the comparative results by presenting the periods on a constant currency basis. Assumes constant foreign currency exchange rates based on the rates in effect for the prior year period being used in translation for the comparable current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2"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Forward-Looking Statements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under the heading "Business Update," "Outlook," and those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the conflict in the Middle East, global supply chain disruptions, inflation, volatility and disruption of global financial markets; the impact of the United States' and other countries’ trade policies including the implementation of tariffs;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sufficiently qualified personnel or increases in labor costs; our expansion strategy and our ability to successfully integrate the businesses we acquire and costs and timing related thereto;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the use of artificial intelligence technologies within our business processes; our leverage; variable rate indebtedness that subjects us to interest rate risk; the inability to generate sufficient cash to service all of our indebtedness; debt agreements that limit our flexibility in operating our business; risks associated with the completed spin-off of Aramark Uniform and Career Apparel ("Uniform") as an independent publicly traded company to our stockholders;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25, 2025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2100"/>
                <wp:effectExtent l="0" t="0" r="0" b="0"/>
                <wp:wrapNone/>
                <wp:docPr id="13"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before="0" w:after="0"/>
        <w:jc w:val="center"/>
        <w:rPr/>
      </w:pPr>
      <w:r>
        <w:rPr/>
      </w:r>
    </w:p>
    <w:tbl>
      <w:tblPr>
        <w:tblW w:w="8120" w:type="dxa"/>
        <w:jc w:val="center"/>
        <w:tblInd w:w="0" w:type="dxa"/>
        <w:tblLayout w:type="fixed"/>
        <w:tblCellMar>
          <w:top w:w="28" w:type="dxa"/>
          <w:left w:w="28" w:type="dxa"/>
          <w:bottom w:w="28" w:type="dxa"/>
          <w:right w:w="28" w:type="dxa"/>
        </w:tblCellMar>
      </w:tblPr>
      <w:tblGrid>
        <w:gridCol w:w="1828"/>
        <w:gridCol w:w="1611"/>
        <w:gridCol w:w="1630"/>
        <w:gridCol w:w="109"/>
        <w:gridCol w:w="109"/>
        <w:gridCol w:w="109"/>
        <w:gridCol w:w="196"/>
        <w:gridCol w:w="871"/>
        <w:gridCol w:w="109"/>
        <w:gridCol w:w="109"/>
        <w:gridCol w:w="109"/>
        <w:gridCol w:w="109"/>
        <w:gridCol w:w="196"/>
        <w:gridCol w:w="87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4,626,451 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provided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general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4,443,864 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Aramark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attributable to Aramark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4"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before="0" w:after="0"/>
        <w:jc w:val="center"/>
        <w:rPr/>
      </w:pPr>
      <w:r>
        <w:rPr/>
      </w:r>
    </w:p>
    <w:tbl>
      <w:tblPr>
        <w:tblW w:w="8300" w:type="dxa"/>
        <w:jc w:val="center"/>
        <w:tblInd w:w="0" w:type="dxa"/>
        <w:tblLayout w:type="fixed"/>
        <w:tblCellMar>
          <w:top w:w="28" w:type="dxa"/>
          <w:left w:w="28" w:type="dxa"/>
          <w:bottom w:w="28" w:type="dxa"/>
          <w:right w:w="28" w:type="dxa"/>
        </w:tblCellMar>
      </w:tblPr>
      <w:tblGrid>
        <w:gridCol w:w="1828"/>
        <w:gridCol w:w="1611"/>
        <w:gridCol w:w="1630"/>
        <w:gridCol w:w="109"/>
        <w:gridCol w:w="109"/>
        <w:gridCol w:w="109"/>
        <w:gridCol w:w="196"/>
        <w:gridCol w:w="961"/>
        <w:gridCol w:w="109"/>
        <w:gridCol w:w="109"/>
        <w:gridCol w:w="109"/>
        <w:gridCol w:w="109"/>
        <w:gridCol w:w="196"/>
        <w:gridCol w:w="96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13,457,835 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provided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general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12,883,809 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574,026 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Aramark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attributable to Aramark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2100"/>
                <wp:effectExtent l="0" t="0" r="0" b="0"/>
                <wp:wrapNone/>
                <wp:docPr id="15"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tbl>
      <w:tblPr>
        <w:tblW w:w="8432" w:type="dxa"/>
        <w:jc w:val="center"/>
        <w:tblInd w:w="0" w:type="dxa"/>
        <w:tblLayout w:type="fixed"/>
        <w:tblCellMar>
          <w:top w:w="28" w:type="dxa"/>
          <w:left w:w="28" w:type="dxa"/>
          <w:bottom w:w="28" w:type="dxa"/>
          <w:right w:w="28" w:type="dxa"/>
        </w:tblCellMar>
      </w:tblPr>
      <w:tblGrid>
        <w:gridCol w:w="1486"/>
        <w:gridCol w:w="1310"/>
        <w:gridCol w:w="1328"/>
        <w:gridCol w:w="145"/>
        <w:gridCol w:w="145"/>
        <w:gridCol w:w="145"/>
        <w:gridCol w:w="261"/>
        <w:gridCol w:w="1283"/>
        <w:gridCol w:w="145"/>
        <w:gridCol w:w="145"/>
        <w:gridCol w:w="145"/>
        <w:gridCol w:w="145"/>
        <w:gridCol w:w="261"/>
        <w:gridCol w:w="1283"/>
        <w:gridCol w:w="205"/>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8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ARAMARK AND SUBSIDIARIES</w:t>
            </w:r>
          </w:p>
        </w:tc>
      </w:tr>
      <w:tr>
        <w:trPr/>
        <w:tc>
          <w:tcPr>
            <w:tcW w:w="8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8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8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2,582,676 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2,210,388 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3,855,934 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3,522,891 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1,739,649 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1,734,489 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4,996,446 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4,874,670 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1,921,828 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1,874,067 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701,839 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13,973,937 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13,304,629 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borrowings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1,522,747 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1,759,309 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1,931,688 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3,001,228 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3,546,722 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6,094,909 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5,374,394 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Noncurrent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1,143,510 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3,394,206 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3,148,059 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13,973,937 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13,304,629 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2100"/>
                <wp:effectExtent l="0" t="0" r="0" b="0"/>
                <wp:wrapNone/>
                <wp:docPr id="16"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16"/>
        <w:gridCol w:w="1639"/>
        <w:gridCol w:w="1652"/>
        <w:gridCol w:w="195"/>
        <w:gridCol w:w="195"/>
        <w:gridCol w:w="195"/>
        <w:gridCol w:w="352"/>
        <w:gridCol w:w="1323"/>
        <w:gridCol w:w="195"/>
        <w:gridCol w:w="195"/>
        <w:gridCol w:w="195"/>
        <w:gridCol w:w="195"/>
        <w:gridCol w:w="352"/>
        <w:gridCol w:w="1323"/>
        <w:gridCol w:w="283"/>
      </w:tblGrid>
      <w:tr>
        <w:trPr/>
        <w:tc>
          <w:tcPr>
            <w:tcW w:w="191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ARAMARK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239,628 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used in operating activities: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352,085 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contingent consideration liability</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(977,384)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(859,337)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 to clients on contracts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(264,755)</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(254,527)</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purchases of property and equipment and other</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(323,386)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(342,714)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divestitures and other investing activities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(112,478)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(271,464)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(435,864)</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(614,178)</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proceeds/payments of long-term borrowings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Revolving Credit Facility</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394,715 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funding under the Receivables Facility</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dividends</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(94,678)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contingent considerations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financing activities </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563,608 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679,377 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rates on cash and cash equivalents and restricted cash</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 and restricted cash</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(138,466)</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(174,909)</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707,144 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732,613 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568,678 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557,704 </w:t>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56" w:type="dxa"/>
        <w:jc w:val="center"/>
        <w:tblInd w:w="0" w:type="dxa"/>
        <w:tblLayout w:type="fixed"/>
        <w:tblCellMar>
          <w:top w:w="28" w:type="dxa"/>
          <w:left w:w="28" w:type="dxa"/>
          <w:bottom w:w="28" w:type="dxa"/>
          <w:right w:w="28" w:type="dxa"/>
        </w:tblCellMar>
      </w:tblPr>
      <w:tblGrid>
        <w:gridCol w:w="1462"/>
        <w:gridCol w:w="1284"/>
        <w:gridCol w:w="1288"/>
        <w:gridCol w:w="196"/>
        <w:gridCol w:w="736"/>
        <w:gridCol w:w="109"/>
        <w:gridCol w:w="109"/>
        <w:gridCol w:w="109"/>
        <w:gridCol w:w="109"/>
        <w:gridCol w:w="208"/>
        <w:gridCol w:w="783"/>
        <w:gridCol w:w="163"/>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Balance Sheet classification</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501,485 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Prepayments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557,704 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2100"/>
                <wp:effectExtent l="0" t="0" r="0" b="0"/>
                <wp:wrapNone/>
                <wp:docPr id="17" name="Frame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48"/>
        <w:gridCol w:w="1000"/>
        <w:gridCol w:w="1006"/>
        <w:gridCol w:w="109"/>
        <w:gridCol w:w="109"/>
        <w:gridCol w:w="109"/>
        <w:gridCol w:w="196"/>
        <w:gridCol w:w="877"/>
        <w:gridCol w:w="242"/>
        <w:gridCol w:w="109"/>
        <w:gridCol w:w="109"/>
        <w:gridCol w:w="109"/>
        <w:gridCol w:w="196"/>
        <w:gridCol w:w="871"/>
        <w:gridCol w:w="241"/>
        <w:gridCol w:w="109"/>
        <w:gridCol w:w="109"/>
        <w:gridCol w:w="109"/>
        <w:gridCol w:w="196"/>
        <w:gridCol w:w="704"/>
        <w:gridCol w:w="241"/>
        <w:gridCol w:w="109"/>
        <w:gridCol w:w="109"/>
        <w:gridCol w:w="109"/>
        <w:gridCol w:w="256"/>
        <w:gridCol w:w="1142"/>
        <w:gridCol w:w="381"/>
      </w:tblGrid>
      <w:tr>
        <w:trPr/>
        <w:tc>
          <w:tcPr>
            <w:tcW w:w="134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ARAMARK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NON-GAAP MEASURES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CONSOLIDATED OPERATING INCOME MARGIN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Aramark and Subsidiaries</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3,496,394 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1,561,515 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5,057,909 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182,155 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68,752 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215,586 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Income Margin (as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3,496,394 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1,561,515 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5,057,909 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3,496,276 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1,528,986 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5,025,262 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Growth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3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Growth (Organic)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3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215,586 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211,085 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260,816 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w:t>
            </w:r>
          </w:p>
        </w:tc>
        <w:tc>
          <w:tcPr>
            <w:tcW w:w="3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211,059 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(35,321)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259,353 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Growth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3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Growth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3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Aramark and Subsidiaries</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3,247,254 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1,379,197 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4,626,451 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160,030 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182,587 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189,295 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(26,502)</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230,225 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Income Margin (as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2100"/>
                <wp:effectExtent l="0" t="0" r="0" b="0"/>
                <wp:wrapNone/>
                <wp:docPr id="18" name="Frame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20"/>
        <w:gridCol w:w="933"/>
        <w:gridCol w:w="939"/>
        <w:gridCol w:w="109"/>
        <w:gridCol w:w="109"/>
        <w:gridCol w:w="109"/>
        <w:gridCol w:w="196"/>
        <w:gridCol w:w="961"/>
        <w:gridCol w:w="241"/>
        <w:gridCol w:w="109"/>
        <w:gridCol w:w="109"/>
        <w:gridCol w:w="109"/>
        <w:gridCol w:w="196"/>
        <w:gridCol w:w="871"/>
        <w:gridCol w:w="241"/>
        <w:gridCol w:w="109"/>
        <w:gridCol w:w="109"/>
        <w:gridCol w:w="109"/>
        <w:gridCol w:w="196"/>
        <w:gridCol w:w="790"/>
        <w:gridCol w:w="241"/>
        <w:gridCol w:w="109"/>
        <w:gridCol w:w="109"/>
        <w:gridCol w:w="109"/>
        <w:gridCol w:w="239"/>
        <w:gridCol w:w="1178"/>
        <w:gridCol w:w="355"/>
      </w:tblGrid>
      <w:tr>
        <w:trPr/>
        <w:tc>
          <w:tcPr>
            <w:tcW w:w="132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ARAMARK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NON-GAAP MEASURES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CONSOLIDATED OPERATING INCOME MARGIN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Aramark and Subsidiaries</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10,288,768 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4,508,032 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14,796,800 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189,950 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(100,589)</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652,884 </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Income Margin (as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10,288,768 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4,508,032 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14,796,800 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(185,083)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10,286,615 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4,325,102 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14,611,717 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Growth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3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Growth (Organic)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3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652,884 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659,849 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222,248 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(100,589)</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781,508 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(7,543)</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(8,102)</w:t>
            </w:r>
          </w:p>
        </w:tc>
        <w:tc>
          <w:tcPr>
            <w:tcW w:w="3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659,290 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214,705 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(100,589)</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773,406 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Growth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3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Growth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3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Aramark and Subsidiaries</w:t>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9,604,608 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3,853,227 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13,457,835 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505,434 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574,026 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90,637 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593,880 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184,437 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692,612 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Income Margin (as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2100"/>
                <wp:effectExtent l="0" t="0" r="0" b="0"/>
                <wp:wrapNone/>
                <wp:docPr id="19" name="Frame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10"/>
        <w:gridCol w:w="450"/>
        <w:gridCol w:w="450"/>
        <w:gridCol w:w="1139"/>
        <w:gridCol w:w="1002"/>
        <w:gridCol w:w="822"/>
        <w:gridCol w:w="109"/>
        <w:gridCol w:w="109"/>
        <w:gridCol w:w="109"/>
        <w:gridCol w:w="196"/>
        <w:gridCol w:w="736"/>
        <w:gridCol w:w="241"/>
        <w:gridCol w:w="109"/>
        <w:gridCol w:w="109"/>
        <w:gridCol w:w="109"/>
        <w:gridCol w:w="200"/>
        <w:gridCol w:w="753"/>
        <w:gridCol w:w="111"/>
        <w:gridCol w:w="109"/>
        <w:gridCol w:w="109"/>
        <w:gridCol w:w="109"/>
        <w:gridCol w:w="196"/>
        <w:gridCol w:w="736"/>
        <w:gridCol w:w="241"/>
        <w:gridCol w:w="109"/>
        <w:gridCol w:w="109"/>
        <w:gridCol w:w="109"/>
        <w:gridCol w:w="200"/>
        <w:gridCol w:w="753"/>
        <w:gridCol w:w="161"/>
      </w:tblGrid>
      <w:tr>
        <w:trPr/>
        <w:tc>
          <w:tcPr>
            <w:tcW w:w="5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ARAMARK AND SUBSIDIARIES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NON-GAAP MEASURES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NET INCOME &amp; ADJUSTED EARNINGS PER SHARE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r>
      <w:tr>
        <w:trPr/>
        <w:tc>
          <w:tcPr>
            <w:tcW w:w="43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Aramark Stockholders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239,256 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Debt Repricing and Repayments on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Impact of Adjustments to Adjusted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Adjusted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140,127 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406,527 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335,273 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3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Income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139,197 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401,746 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335,273 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Aramark Stockholders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 Growth (as reported)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Adjusted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406,527 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Per Share Growth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Per Share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Per Share Growth (Constant Currency)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2100"/>
                <wp:effectExtent l="0" t="0" r="0" b="0"/>
                <wp:wrapNone/>
                <wp:docPr id="20" name="Frame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78"/>
        <w:gridCol w:w="598"/>
        <w:gridCol w:w="598"/>
        <w:gridCol w:w="1602"/>
        <w:gridCol w:w="1101"/>
        <w:gridCol w:w="1115"/>
        <w:gridCol w:w="160"/>
        <w:gridCol w:w="160"/>
        <w:gridCol w:w="160"/>
        <w:gridCol w:w="289"/>
        <w:gridCol w:w="1289"/>
        <w:gridCol w:w="160"/>
        <w:gridCol w:w="160"/>
        <w:gridCol w:w="160"/>
        <w:gridCol w:w="160"/>
        <w:gridCol w:w="289"/>
        <w:gridCol w:w="1289"/>
        <w:gridCol w:w="237"/>
      </w:tblGrid>
      <w:tr>
        <w:trPr/>
        <w:tc>
          <w:tcPr>
            <w:tcW w:w="6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ARAMARK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NON-GAAP MEASURES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DEBT TO COVENANT ADJUSTED EBITDA</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Twelve Months Ended</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r>
      <w:tr>
        <w:trPr/>
        <w:tc>
          <w:tcPr>
            <w:tcW w:w="5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Aramark Stockholders (as reported)</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382,907 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361,667 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336,208 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518,498 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464,838 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Share-based compensation expense</w:t>
            </w:r>
            <w:r>
              <w:rPr>
                <w:rFonts w:ascii="Times New Roman;serif" w:hAnsi="Times New Roman;serif"/>
                <w:b w:val="false"/>
                <w:color w:val="000000"/>
                <w:sz w:val="10"/>
              </w:rPr>
              <w:t>(1)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Unusual or non-recurring losses and (gains)</w:t>
            </w:r>
            <w:r>
              <w:rPr>
                <w:rFonts w:ascii="Times New Roman;serif" w:hAnsi="Times New Roman;serif"/>
                <w:b w:val="false"/>
                <w:color w:val="000000"/>
                <w:sz w:val="10"/>
              </w:rPr>
              <w:t>(2)</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818"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 forma EBITDA for certain transactions</w:t>
            </w:r>
            <w:r>
              <w:rPr>
                <w:rFonts w:ascii="Times New Roman;serif" w:hAnsi="Times New Roman;serif"/>
                <w:b w:val="false"/>
                <w:color w:val="000000"/>
                <w:sz w:val="10"/>
              </w:rPr>
              <w:t>(3)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(4)(5)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Covenant Adjusted EBITDA</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1,621,562 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1,452,066 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Debt to Covenant Adjusted EBITDA</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Borrowings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6,129,826 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6,294,947 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Less: Cash and cash equivalents and short-term marketable securities</w:t>
            </w:r>
            <w:r>
              <w:rPr>
                <w:rFonts w:ascii="Times New Roman;serif" w:hAnsi="Times New Roman;serif"/>
                <w:b w:val="false"/>
                <w:color w:val="000000"/>
                <w:sz w:val="10"/>
              </w:rPr>
              <w:t>(6)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Debt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5,630,401 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5,749,734 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Covenant Adjusted EBITDA</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1,621,562 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1,452,066 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Debt/Covenant Adjusted EBITDA</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share-based compensation expense of equity awards resulting from the application of accounting for stock options, restricted stock units, performance stock units and deferred stock unit awards.</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(2) The twelve months ended July 3, 2026 represents a fiscal 2026 non-cash charge for the impairment of certain assets related to a business held-for-sale ($6.1 million) and a fiscal 2025 non-cash charge for the impairment on an equity investment ($19.5 million). The twelve months ended June 27, 2025 represents a fiscal 2024 gain from the sale of the Company's remaining equity investment in the San Antonio Spurs NBA franchise ($25.1 million).</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(3) Represents the annualizing of net EBITDA from certain acquisitions made during the period and, for purposes of the Credit Agreement, the net benefit from cost savings initiatives ($21.4 million for the twelve months ended July 3, 2026).</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(4) "Other" for the twelve months ended July 3, 2026 includes adjustments to remove the impact attributable to the adoption of certain accounting standards that are made to the calculation in accordance with the Credit Agreement and indentures ($58.1 million), severance charges ($34.9 million), non-cash charges for the impairments of assets ($8.9 million), merger and integration charges ($5.7 million), multiemployer pension plan withdrawal charge, net ($4.8 million), earnings from miscellaneous investments, net of dividends ($4.6 million), legal and professional fees related to an antitrust review ($3.8 million), the impact of hyperinflation in Argentina ($3.7 million) and other miscellaneous expenses.</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(4) "Other" for the twelve months ended June 27, 2025 includes adjustments to remove the impact attributable to the adoption of certain accounting standards that are made to the calculation in accordance with the Credit Agreement and indentures ($53.7 million), severance charges ($19.4 million), non-cash adjustments to inventory based on expected usage ($18.2 million), charges related to a ruling on a foreign tax matter ($6.8 million), dividends from miscellaneous investments, net of earnings ($5.0 million), the impact of hyperinflation in Argentina ($3.3 million), contingent consideration expense related to acquisition earn outs, net of reversals ($2.4 million), legal charges related to an anti-trust review ($1.1 million) and other miscellaneous expenses.</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(6) Short-term marketable securities represent held-to-maturity debt securities with original maturities greater than three months, which are maturing within one year and will convert back to cash. Short-term marketable securities are included in "Prepayments and other current assets" on the Condensed Consolidated Balance Sheets.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2100"/>
                <wp:effectExtent l="0" t="0" r="0" b="0"/>
                <wp:wrapNone/>
                <wp:docPr id="21" name="Frame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tbl>
      <w:tblPr>
        <w:tblW w:w="9039" w:type="dxa"/>
        <w:jc w:val="center"/>
        <w:tblInd w:w="0" w:type="dxa"/>
        <w:tblLayout w:type="fixed"/>
        <w:tblCellMar>
          <w:top w:w="28" w:type="dxa"/>
          <w:left w:w="28" w:type="dxa"/>
          <w:bottom w:w="28" w:type="dxa"/>
          <w:right w:w="28" w:type="dxa"/>
        </w:tblCellMar>
      </w:tblPr>
      <w:tblGrid>
        <w:gridCol w:w="1359"/>
        <w:gridCol w:w="1191"/>
        <w:gridCol w:w="1200"/>
        <w:gridCol w:w="271"/>
        <w:gridCol w:w="1124"/>
        <w:gridCol w:w="150"/>
        <w:gridCol w:w="109"/>
        <w:gridCol w:w="109"/>
        <w:gridCol w:w="109"/>
        <w:gridCol w:w="253"/>
        <w:gridCol w:w="1047"/>
        <w:gridCol w:w="140"/>
        <w:gridCol w:w="109"/>
        <w:gridCol w:w="109"/>
        <w:gridCol w:w="109"/>
        <w:gridCol w:w="297"/>
        <w:gridCol w:w="1119"/>
        <w:gridCol w:w="234"/>
      </w:tblGrid>
      <w:tr>
        <w:trPr/>
        <w:tc>
          <w:tcPr>
            <w:tcW w:w="13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90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ARAMARK AND SUBSIDIARIES</w:t>
            </w:r>
          </w:p>
        </w:tc>
      </w:tr>
      <w:tr>
        <w:trPr/>
        <w:tc>
          <w:tcPr>
            <w:tcW w:w="90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NON-GAAP MEASURES</w:t>
            </w:r>
          </w:p>
        </w:tc>
      </w:tr>
      <w:tr>
        <w:trPr/>
        <w:tc>
          <w:tcPr>
            <w:tcW w:w="90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FREE CASH FLOW</w:t>
            </w:r>
          </w:p>
        </w:tc>
      </w:tr>
      <w:tr>
        <w:trPr/>
        <w:tc>
          <w:tcPr>
            <w:tcW w:w="90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90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(264,755)</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(381,948)</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117,193 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purchases of property and equipment and other</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(323,386)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(214,878)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(108,508)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(588,141)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(596,826)</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(254,527)</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(331,204)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76,677 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purchases of property and equipment and other</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(110,228)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(597,241)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(563,690)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(33,551)</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(10,228)</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purchases of property and equipment and other</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(33,136)</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42,236 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2100"/>
                <wp:effectExtent l="0" t="0" r="0" b="0"/>
                <wp:wrapNone/>
                <wp:docPr id="22" name="Frame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79"/>
        <w:gridCol w:w="973"/>
        <w:gridCol w:w="961"/>
        <w:gridCol w:w="258"/>
        <w:gridCol w:w="258"/>
        <w:gridCol w:w="258"/>
        <w:gridCol w:w="465"/>
        <w:gridCol w:w="2079"/>
        <w:gridCol w:w="575"/>
        <w:gridCol w:w="258"/>
        <w:gridCol w:w="258"/>
        <w:gridCol w:w="109"/>
        <w:gridCol w:w="109"/>
        <w:gridCol w:w="109"/>
        <w:gridCol w:w="109"/>
        <w:gridCol w:w="109"/>
        <w:gridCol w:w="236"/>
        <w:gridCol w:w="1051"/>
        <w:gridCol w:w="351"/>
      </w:tblGrid>
      <w:tr>
        <w:trPr/>
        <w:tc>
          <w:tcPr>
            <w:tcW w:w="167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0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ARAMARK AND SUBSIDIARIES</w:t>
            </w:r>
          </w:p>
        </w:tc>
        <w:tc>
          <w:tcPr>
            <w:tcW w:w="2183" w:type="dxa"/>
            <w:gridSpan w:val="8"/>
            <w:tcBorders/>
          </w:tcPr>
          <w:p>
            <w:pPr>
              <w:pStyle w:val="TableContents"/>
              <w:bidi w:val="0"/>
              <w:spacing w:before="0" w:after="283"/>
              <w:jc w:val="left"/>
              <w:rPr>
                <w:sz w:val="4"/>
                <w:szCs w:val="4"/>
              </w:rPr>
            </w:pPr>
            <w:r>
              <w:rPr>
                <w:sz w:val="4"/>
                <w:szCs w:val="4"/>
              </w:rPr>
            </w:r>
          </w:p>
        </w:tc>
      </w:tr>
      <w:tr>
        <w:trPr/>
        <w:tc>
          <w:tcPr>
            <w:tcW w:w="80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NON-GAAP MEASURES</w:t>
            </w:r>
          </w:p>
        </w:tc>
        <w:tc>
          <w:tcPr>
            <w:tcW w:w="2183" w:type="dxa"/>
            <w:gridSpan w:val="8"/>
            <w:tcBorders/>
          </w:tcPr>
          <w:p>
            <w:pPr>
              <w:pStyle w:val="TableContents"/>
              <w:bidi w:val="0"/>
              <w:spacing w:before="0" w:after="283"/>
              <w:jc w:val="left"/>
              <w:rPr>
                <w:sz w:val="4"/>
                <w:szCs w:val="4"/>
              </w:rPr>
            </w:pPr>
            <w:r>
              <w:rPr>
                <w:sz w:val="4"/>
                <w:szCs w:val="4"/>
              </w:rPr>
            </w:r>
          </w:p>
        </w:tc>
      </w:tr>
      <w:tr>
        <w:trPr/>
        <w:tc>
          <w:tcPr>
            <w:tcW w:w="80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REVENUE AND ADJUSTED OPERATING INCOME GROWTH WITHOUT THE CALENDAR SHIFT</w:t>
            </w:r>
          </w:p>
        </w:tc>
        <w:tc>
          <w:tcPr>
            <w:tcW w:w="2183" w:type="dxa"/>
            <w:gridSpan w:val="8"/>
            <w:tcBorders/>
          </w:tcPr>
          <w:p>
            <w:pPr>
              <w:pStyle w:val="TableContents"/>
              <w:bidi w:val="0"/>
              <w:spacing w:before="0" w:after="283"/>
              <w:jc w:val="left"/>
              <w:rPr>
                <w:sz w:val="4"/>
                <w:szCs w:val="4"/>
              </w:rPr>
            </w:pPr>
            <w:r>
              <w:rPr>
                <w:sz w:val="4"/>
                <w:szCs w:val="4"/>
              </w:rPr>
            </w:r>
          </w:p>
        </w:tc>
      </w:tr>
      <w:tr>
        <w:trPr/>
        <w:tc>
          <w:tcPr>
            <w:tcW w:w="80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2183" w:type="dxa"/>
            <w:gridSpan w:val="8"/>
            <w:tcBorders/>
          </w:tcPr>
          <w:p>
            <w:pPr>
              <w:pStyle w:val="TableContents"/>
              <w:bidi w:val="0"/>
              <w:spacing w:before="0" w:after="283"/>
              <w:jc w:val="left"/>
              <w:rPr>
                <w:sz w:val="4"/>
                <w:szCs w:val="4"/>
              </w:rPr>
            </w:pPr>
            <w:r>
              <w:rPr>
                <w:sz w:val="4"/>
                <w:szCs w:val="4"/>
              </w:rPr>
            </w:r>
          </w:p>
        </w:tc>
      </w:tr>
      <w:tr>
        <w:trPr/>
        <w:tc>
          <w:tcPr>
            <w:tcW w:w="802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183" w:type="dxa"/>
            <w:gridSpan w:val="8"/>
            <w:tcBorders/>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2183" w:type="dxa"/>
            <w:gridSpan w:val="8"/>
            <w:tcBorders/>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c>
          <w:tcPr>
            <w:tcW w:w="2183" w:type="dxa"/>
            <w:gridSpan w:val="8"/>
            <w:tcBorders/>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United States</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Aramark and Subsidiaries</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3,496,394 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5,057,909 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Impact of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80,825 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without the calendar shift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3,577,219 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5,138,734 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(Organic), without the calendar shift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3,577,101 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5,106,087 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Growth (as reported)</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5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3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Growth, without the calendar shift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5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3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Revenue Growth (Organic), without the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5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182,155 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215,586 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Impact of Calendar Shift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20,140 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without the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202,295 </w:t>
            </w:r>
          </w:p>
        </w:tc>
        <w:tc>
          <w:tcPr>
            <w:tcW w:w="5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235,726 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27,745 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without the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231,225 </w:t>
            </w:r>
          </w:p>
        </w:tc>
        <w:tc>
          <w:tcPr>
            <w:tcW w:w="5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280,956 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(Constant Currency), without the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231,199 </w:t>
            </w:r>
          </w:p>
        </w:tc>
        <w:tc>
          <w:tcPr>
            <w:tcW w:w="5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279,493 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Growth (as reported)</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5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3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Growth, without the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5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3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Growth (Constant Currency), without the calendar shift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5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3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Margin (as reported)</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5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Margin, without the calendar shift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5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 (Constant Currency), without the calendar shift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5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3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2183" w:type="dxa"/>
            <w:gridSpan w:val="8"/>
            <w:tcBorders/>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c>
          <w:tcPr>
            <w:tcW w:w="2183" w:type="dxa"/>
            <w:gridSpan w:val="8"/>
            <w:tcBorders/>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FSS United States</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Aramark and Subsidiaries</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(as reported)</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3,247,254 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4,626,451 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(as reported)</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160,030 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24,821 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189,295 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230,225 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Margin (as reported)</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Income Margin</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5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*FSS International results were largely unaffected by the calendar shift from the 53rd week in the prior year </w:t>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2100"/>
                <wp:effectExtent l="0" t="0" r="0" b="0"/>
                <wp:wrapNone/>
                <wp:docPr id="23" name="Frame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66"/>
        <w:gridCol w:w="492"/>
        <w:gridCol w:w="473"/>
        <w:gridCol w:w="1542"/>
        <w:gridCol w:w="1104"/>
        <w:gridCol w:w="1020"/>
        <w:gridCol w:w="171"/>
        <w:gridCol w:w="171"/>
        <w:gridCol w:w="171"/>
        <w:gridCol w:w="309"/>
        <w:gridCol w:w="1163"/>
        <w:gridCol w:w="380"/>
        <w:gridCol w:w="171"/>
        <w:gridCol w:w="171"/>
        <w:gridCol w:w="171"/>
        <w:gridCol w:w="309"/>
        <w:gridCol w:w="1163"/>
        <w:gridCol w:w="171"/>
        <w:gridCol w:w="109"/>
        <w:gridCol w:w="109"/>
        <w:gridCol w:w="109"/>
        <w:gridCol w:w="160"/>
      </w:tblGrid>
      <w:tr>
        <w:trPr/>
        <w:tc>
          <w:tcPr>
            <w:tcW w:w="56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ARAMARK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NET INCOME &amp; ADJUSTED EARNINGS PER SHARE WITHOUT THE CALENDAR SHIFT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3, 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27,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Aramark Stockholders (as reported)</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97,658 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Effect of Calendar Shift, net of Tax</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Aramark Stockholders, without the calendar shift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112,562 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Adjustment: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Acquisition-Related Intangible Assets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and Other Charges</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and Settlements impacting comparability</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Impact of Adjustments to Adjusted Net Income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Adjusted Net Income, without the calendar shift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155,031 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 net of Tax</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Income (Constant Currency), without the calendar shift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154,101 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 (as reported)</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Aramark Stockholders (as reported)</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97,658 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268,535 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 Growth (as reported)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38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 without the calendar shift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Aramark Stockholders, without the calendar shift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112,562 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268,535 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 Growth %, without the calendar shift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38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Per Share (Constant Currency), without the calendar shift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(Constant Currency), without the calendar shift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154,101 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268,535 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Per Share Growth (Constant Currency) %, without the calendar shift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38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2100"/>
                <wp:effectExtent l="0" t="0" r="0" b="0"/>
                <wp:wrapNone/>
                <wp:docPr id="24" name="Frame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7302</Words>
  <Characters>42370</Characters>
  <CharactersWithSpaces>48717</CharactersWithSpaces>
  <Paragraphs>1554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